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DF" w:rsidRPr="003179DF" w:rsidRDefault="003179DF" w:rsidP="003179DF">
      <w:pPr>
        <w:shd w:val="clear" w:color="auto" w:fill="FFFFFF"/>
        <w:spacing w:after="100" w:afterAutospacing="1" w:line="240" w:lineRule="auto"/>
        <w:jc w:val="both"/>
        <w:rPr>
          <w:rFonts w:ascii="Arial" w:eastAsia="Times New Roman" w:hAnsi="Arial" w:cs="Arial"/>
          <w:b/>
          <w:bCs/>
          <w:color w:val="000000"/>
          <w:sz w:val="32"/>
          <w:szCs w:val="36"/>
        </w:rPr>
      </w:pPr>
      <w:r w:rsidRPr="003179DF">
        <w:rPr>
          <w:rFonts w:ascii="Arial" w:eastAsia="Times New Roman" w:hAnsi="Arial" w:cs="Arial"/>
          <w:b/>
          <w:bCs/>
          <w:color w:val="000000"/>
          <w:sz w:val="32"/>
          <w:szCs w:val="36"/>
        </w:rPr>
        <w:t>2007 Processes for Reclassification and Market Equity Adjustments for Staff Employees - PowerPoint Presentation</w:t>
      </w:r>
    </w:p>
    <w:p w:rsidR="003179DF" w:rsidRPr="003179DF" w:rsidRDefault="003179DF" w:rsidP="003179DF">
      <w:pPr>
        <w:shd w:val="clear" w:color="auto" w:fill="FFFFFF"/>
        <w:spacing w:before="100" w:beforeAutospacing="1" w:after="100" w:afterAutospacing="1" w:line="240" w:lineRule="auto"/>
        <w:jc w:val="both"/>
        <w:rPr>
          <w:rFonts w:ascii="Arial" w:eastAsia="Times New Roman" w:hAnsi="Arial" w:cs="Arial"/>
          <w:b/>
          <w:bCs/>
          <w:i/>
          <w:iCs/>
          <w:color w:val="000000"/>
          <w:sz w:val="32"/>
          <w:szCs w:val="32"/>
        </w:rPr>
      </w:pPr>
      <w:r w:rsidRPr="003179DF">
        <w:rPr>
          <w:rFonts w:ascii="Arial" w:eastAsia="Times New Roman" w:hAnsi="Arial" w:cs="Arial"/>
          <w:b/>
          <w:bCs/>
          <w:i/>
          <w:iCs/>
          <w:color w:val="000000"/>
          <w:sz w:val="32"/>
          <w:szCs w:val="32"/>
          <w:u w:val="single"/>
        </w:rPr>
        <w:t>Reclassification</w:t>
      </w:r>
    </w:p>
    <w:p w:rsidR="003179DF" w:rsidRPr="003179DF" w:rsidRDefault="003179DF" w:rsidP="003179DF">
      <w:pPr>
        <w:shd w:val="clear" w:color="auto" w:fill="FFFFFF"/>
        <w:spacing w:before="100" w:beforeAutospacing="1" w:after="100" w:afterAutospacing="1"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7"/>
          <w:szCs w:val="27"/>
        </w:rPr>
        <w:t>Classification of Library Assistant and Library Associate Positions</w:t>
      </w:r>
    </w:p>
    <w:p w:rsidR="003179DF" w:rsidRPr="003179DF" w:rsidRDefault="003179DF" w:rsidP="003179DF">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7"/>
          <w:szCs w:val="27"/>
        </w:rPr>
        <w:t>Coinciding with the implementation of the University’s Performance Management Initiative in March 2006 the Library HR Office began requesting that all staff Position Descriptions (PD’s) be reviewed, updated and submitted electronically. </w:t>
      </w:r>
    </w:p>
    <w:p w:rsidR="003179DF" w:rsidRPr="003179DF" w:rsidRDefault="003179DF" w:rsidP="003179DF">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7"/>
          <w:szCs w:val="27"/>
        </w:rPr>
        <w:t>As part of the Reclassification project, the most current versions of these documents were made available online (</w:t>
      </w:r>
      <w:hyperlink r:id="rId6" w:history="1">
        <w:r w:rsidRPr="003179DF">
          <w:rPr>
            <w:rFonts w:ascii="Arial" w:eastAsia="Times New Roman" w:hAnsi="Arial" w:cs="Arial"/>
            <w:color w:val="0000FF"/>
            <w:sz w:val="27"/>
            <w:szCs w:val="27"/>
            <w:u w:val="single"/>
          </w:rPr>
          <w:t>http://www.uflib.ufl.edu/HRPD/</w:t>
        </w:r>
      </w:hyperlink>
      <w:r w:rsidRPr="003179DF">
        <w:rPr>
          <w:rFonts w:ascii="Arial" w:eastAsia="Times New Roman" w:hAnsi="Arial" w:cs="Arial"/>
          <w:color w:val="000000"/>
          <w:sz w:val="27"/>
          <w:szCs w:val="27"/>
        </w:rPr>
        <w:t>) so that each position's duties could be reviewed and groups of positions could be easily compared within and outside units, departments and divisions.</w:t>
      </w:r>
    </w:p>
    <w:p w:rsidR="003179DF" w:rsidRPr="003179DF" w:rsidRDefault="003179DF" w:rsidP="003179DF">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7"/>
          <w:szCs w:val="27"/>
        </w:rPr>
        <w:t>Each position’s duties, as detailed in the PD, were compared by the unit, department, and division to the </w:t>
      </w:r>
      <w:hyperlink r:id="rId7" w:history="1">
        <w:r w:rsidRPr="003179DF">
          <w:rPr>
            <w:rFonts w:ascii="Arial" w:eastAsia="Times New Roman" w:hAnsi="Arial" w:cs="Arial"/>
            <w:color w:val="0000FF"/>
            <w:sz w:val="27"/>
            <w:szCs w:val="27"/>
            <w:u w:val="single"/>
          </w:rPr>
          <w:t>Classification Descriptions</w:t>
        </w:r>
      </w:hyperlink>
      <w:r w:rsidRPr="003179DF">
        <w:rPr>
          <w:rFonts w:ascii="Arial" w:eastAsia="Times New Roman" w:hAnsi="Arial" w:cs="Arial"/>
          <w:color w:val="000000"/>
          <w:sz w:val="27"/>
          <w:szCs w:val="27"/>
        </w:rPr>
        <w:t> and </w:t>
      </w:r>
      <w:hyperlink r:id="rId8" w:history="1">
        <w:r w:rsidRPr="003179DF">
          <w:rPr>
            <w:rFonts w:ascii="Arial" w:eastAsia="Times New Roman" w:hAnsi="Arial" w:cs="Arial"/>
            <w:color w:val="0000FF"/>
            <w:sz w:val="27"/>
            <w:szCs w:val="27"/>
            <w:u w:val="single"/>
          </w:rPr>
          <w:t>Examples of Duties</w:t>
        </w:r>
      </w:hyperlink>
      <w:r w:rsidRPr="003179DF">
        <w:rPr>
          <w:rFonts w:ascii="Arial" w:eastAsia="Times New Roman" w:hAnsi="Arial" w:cs="Arial"/>
          <w:color w:val="000000"/>
          <w:sz w:val="27"/>
          <w:szCs w:val="27"/>
        </w:rPr>
        <w:t> for each classification produced and submitted by the Staff Structure Reorganization Committee (see: </w:t>
      </w:r>
      <w:hyperlink r:id="rId9" w:history="1">
        <w:r w:rsidRPr="003179DF">
          <w:rPr>
            <w:rFonts w:ascii="Arial" w:eastAsia="Times New Roman" w:hAnsi="Arial" w:cs="Arial"/>
            <w:color w:val="0000FF"/>
            <w:sz w:val="27"/>
            <w:szCs w:val="27"/>
            <w:u w:val="single"/>
          </w:rPr>
          <w:t>Full Committee Report</w:t>
        </w:r>
      </w:hyperlink>
      <w:r w:rsidRPr="003179DF">
        <w:rPr>
          <w:rFonts w:ascii="Arial" w:eastAsia="Times New Roman" w:hAnsi="Arial" w:cs="Arial"/>
          <w:color w:val="000000"/>
          <w:sz w:val="27"/>
          <w:szCs w:val="27"/>
        </w:rPr>
        <w:t>).  Each position was mapped to the appropriate Library Assistant or Library Associate classification.  Positions that fell outside of the library-specific work of these classifications were handled as described below. </w:t>
      </w:r>
    </w:p>
    <w:p w:rsidR="003179DF" w:rsidRPr="003179DF" w:rsidRDefault="003179DF" w:rsidP="003179DF">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7"/>
          <w:szCs w:val="27"/>
        </w:rPr>
        <w:t>The proposed mapping for each position was reviewed for appropriateness, equity and consistency by the subsequently higher levels of authority within the unit, department, and division.</w:t>
      </w:r>
    </w:p>
    <w:p w:rsidR="003179DF" w:rsidRPr="003179DF" w:rsidRDefault="003179DF" w:rsidP="003179DF">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7"/>
          <w:szCs w:val="27"/>
        </w:rPr>
        <w:t>All mapping recommendations put forth by the divisions were reviewed by the Library Directors to ensure that positions were mapped equitably and consistently across the different divisions of the libraries.</w:t>
      </w:r>
    </w:p>
    <w:p w:rsidR="003179DF" w:rsidRPr="003179DF" w:rsidRDefault="003179DF" w:rsidP="003179DF">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7"/>
          <w:szCs w:val="27"/>
        </w:rPr>
        <w:t>The results of the Reclassification process are depicted here:</w:t>
      </w:r>
    </w:p>
    <w:p w:rsidR="003179DF" w:rsidRPr="003179DF" w:rsidRDefault="003179DF" w:rsidP="003179DF">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rPr>
      </w:pPr>
      <w:hyperlink r:id="rId10" w:history="1">
        <w:r w:rsidRPr="003179DF">
          <w:rPr>
            <w:rFonts w:ascii="Arial" w:eastAsia="Times New Roman" w:hAnsi="Arial" w:cs="Arial"/>
            <w:color w:val="0000FF"/>
            <w:sz w:val="27"/>
            <w:szCs w:val="27"/>
            <w:u w:val="single"/>
          </w:rPr>
          <w:t>Current Titles Mapped to New Classifications</w:t>
        </w:r>
      </w:hyperlink>
    </w:p>
    <w:p w:rsidR="003179DF" w:rsidRPr="003179DF" w:rsidRDefault="003179DF" w:rsidP="003179DF">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rPr>
      </w:pPr>
      <w:hyperlink r:id="rId11" w:history="1">
        <w:r w:rsidRPr="003179DF">
          <w:rPr>
            <w:rFonts w:ascii="Arial" w:eastAsia="Times New Roman" w:hAnsi="Arial" w:cs="Arial"/>
            <w:color w:val="0000FF"/>
            <w:sz w:val="27"/>
            <w:szCs w:val="27"/>
            <w:u w:val="single"/>
          </w:rPr>
          <w:t>Distribution of Positions Across Classifications</w:t>
        </w:r>
      </w:hyperlink>
    </w:p>
    <w:p w:rsidR="003179DF" w:rsidRPr="003179DF" w:rsidRDefault="003179DF" w:rsidP="003179DF">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179DF">
        <w:rPr>
          <w:rFonts w:ascii="Arial" w:eastAsia="Times New Roman" w:hAnsi="Arial" w:cs="Arial"/>
          <w:color w:val="000000"/>
          <w:sz w:val="24"/>
          <w:szCs w:val="24"/>
        </w:rPr>
        <w:t>Implementation of Reclassification</w:t>
      </w:r>
    </w:p>
    <w:p w:rsidR="003179DF" w:rsidRPr="003179DF" w:rsidRDefault="003179DF" w:rsidP="003179DF">
      <w:pPr>
        <w:numPr>
          <w:ilvl w:val="0"/>
          <w:numId w:val="2"/>
        </w:numPr>
        <w:shd w:val="clear" w:color="auto" w:fill="FFFFFF"/>
        <w:spacing w:after="0" w:line="240" w:lineRule="auto"/>
        <w:ind w:left="360"/>
        <w:rPr>
          <w:rFonts w:ascii="Arial" w:eastAsia="Times New Roman" w:hAnsi="Arial" w:cs="Arial"/>
          <w:color w:val="000000"/>
          <w:sz w:val="27"/>
          <w:szCs w:val="27"/>
        </w:rPr>
      </w:pPr>
      <w:r w:rsidRPr="003179DF">
        <w:rPr>
          <w:rFonts w:ascii="Arial" w:eastAsia="Times New Roman" w:hAnsi="Arial" w:cs="Arial"/>
          <w:b/>
          <w:bCs/>
          <w:color w:val="000000"/>
          <w:sz w:val="27"/>
          <w:szCs w:val="27"/>
        </w:rPr>
        <w:t>TEAMS.</w:t>
      </w:r>
      <w:r w:rsidRPr="003179DF">
        <w:rPr>
          <w:rFonts w:ascii="Arial" w:eastAsia="Times New Roman" w:hAnsi="Arial" w:cs="Arial"/>
          <w:color w:val="000000"/>
          <w:sz w:val="27"/>
          <w:szCs w:val="27"/>
        </w:rPr>
        <w:t>  Positions occupied by current TEAMS employees and mapped to the new Library Assistant or Library Associate classifications will convert to the appropriate new classification.</w:t>
      </w:r>
    </w:p>
    <w:p w:rsidR="003179DF" w:rsidRPr="003179DF" w:rsidRDefault="003179DF" w:rsidP="003179DF">
      <w:pPr>
        <w:numPr>
          <w:ilvl w:val="0"/>
          <w:numId w:val="2"/>
        </w:numPr>
        <w:shd w:val="clear" w:color="auto" w:fill="FFFFFF"/>
        <w:spacing w:after="0" w:line="240" w:lineRule="auto"/>
        <w:ind w:left="360"/>
        <w:rPr>
          <w:rFonts w:ascii="Arial" w:eastAsia="Times New Roman" w:hAnsi="Arial" w:cs="Arial"/>
          <w:color w:val="000000"/>
          <w:sz w:val="27"/>
          <w:szCs w:val="27"/>
        </w:rPr>
      </w:pPr>
      <w:r w:rsidRPr="003179DF">
        <w:rPr>
          <w:rFonts w:ascii="Arial" w:eastAsia="Times New Roman" w:hAnsi="Arial" w:cs="Arial"/>
          <w:b/>
          <w:bCs/>
          <w:color w:val="000000"/>
          <w:sz w:val="27"/>
          <w:szCs w:val="27"/>
        </w:rPr>
        <w:t>USPS.</w:t>
      </w:r>
      <w:r w:rsidRPr="003179DF">
        <w:rPr>
          <w:rFonts w:ascii="Arial" w:eastAsia="Times New Roman" w:hAnsi="Arial" w:cs="Arial"/>
          <w:color w:val="000000"/>
          <w:sz w:val="27"/>
          <w:szCs w:val="27"/>
        </w:rPr>
        <w:t>  Positions occupied by current USPS employees and mapped to the new Library Assistant or Library Associate classifications will convert to the appropriate new classification </w:t>
      </w:r>
      <w:r w:rsidRPr="003179DF">
        <w:rPr>
          <w:rFonts w:ascii="Arial" w:eastAsia="Times New Roman" w:hAnsi="Arial" w:cs="Arial"/>
          <w:color w:val="000000"/>
          <w:sz w:val="27"/>
          <w:szCs w:val="27"/>
          <w:u w:val="single"/>
        </w:rPr>
        <w:t>only</w:t>
      </w:r>
      <w:r w:rsidRPr="003179DF">
        <w:rPr>
          <w:rFonts w:ascii="Arial" w:eastAsia="Times New Roman" w:hAnsi="Arial" w:cs="Arial"/>
          <w:color w:val="000000"/>
          <w:sz w:val="27"/>
          <w:szCs w:val="27"/>
        </w:rPr>
        <w:t xml:space="preserve"> if the incumbent voluntarily elects to </w:t>
      </w:r>
      <w:r w:rsidRPr="003179DF">
        <w:rPr>
          <w:rFonts w:ascii="Arial" w:eastAsia="Times New Roman" w:hAnsi="Arial" w:cs="Arial"/>
          <w:color w:val="000000"/>
          <w:sz w:val="27"/>
          <w:szCs w:val="27"/>
        </w:rPr>
        <w:lastRenderedPageBreak/>
        <w:t>convert to TEAMS.  </w:t>
      </w:r>
      <w:r w:rsidRPr="003179DF">
        <w:rPr>
          <w:rFonts w:ascii="Arial" w:eastAsia="Times New Roman" w:hAnsi="Arial" w:cs="Arial"/>
          <w:color w:val="000000"/>
          <w:sz w:val="27"/>
          <w:szCs w:val="27"/>
          <w:u w:val="single"/>
        </w:rPr>
        <w:t>The decision to convert to TEAMS and convert to the new classification will have no bearing on the eligibility for market equity adjustments for USPS employees.  Market equity adjustments for USPS employees will be implemented irrespective of that employee's decision to convert to TEAMS and, consequently, to the new classification.</w:t>
      </w:r>
    </w:p>
    <w:p w:rsidR="003179DF" w:rsidRPr="003179DF" w:rsidRDefault="003179DF" w:rsidP="003179DF">
      <w:pPr>
        <w:numPr>
          <w:ilvl w:val="0"/>
          <w:numId w:val="2"/>
        </w:numPr>
        <w:shd w:val="clear" w:color="auto" w:fill="FFFFFF"/>
        <w:spacing w:after="0" w:line="240" w:lineRule="auto"/>
        <w:ind w:left="360"/>
        <w:rPr>
          <w:rFonts w:ascii="Arial" w:eastAsia="Times New Roman" w:hAnsi="Arial" w:cs="Arial"/>
          <w:color w:val="000000"/>
          <w:sz w:val="27"/>
          <w:szCs w:val="27"/>
        </w:rPr>
      </w:pPr>
      <w:r w:rsidRPr="003179DF">
        <w:rPr>
          <w:rFonts w:ascii="Arial" w:eastAsia="Times New Roman" w:hAnsi="Arial" w:cs="Arial"/>
          <w:b/>
          <w:bCs/>
          <w:i/>
          <w:iCs/>
          <w:color w:val="000000"/>
          <w:sz w:val="27"/>
          <w:szCs w:val="27"/>
        </w:rPr>
        <w:t>New positions and promotions.</w:t>
      </w:r>
      <w:r w:rsidRPr="003179DF">
        <w:rPr>
          <w:rFonts w:ascii="Arial" w:eastAsia="Times New Roman" w:hAnsi="Arial" w:cs="Arial"/>
          <w:color w:val="000000"/>
          <w:sz w:val="27"/>
          <w:szCs w:val="27"/>
        </w:rPr>
        <w:t>  Future job vacancies for positions with primarily library-specific job duties will only be posted as Library Assistant and Library Associate positions.  Accordingly, acceptance of one of these positions will require the employee to have TEAMS status.</w:t>
      </w:r>
    </w:p>
    <w:p w:rsidR="003179DF" w:rsidRPr="003179DF" w:rsidRDefault="003179DF" w:rsidP="003179DF">
      <w:pPr>
        <w:shd w:val="clear" w:color="auto" w:fill="FFFFFF"/>
        <w:spacing w:before="100" w:beforeAutospacing="1" w:after="0" w:line="240" w:lineRule="auto"/>
        <w:jc w:val="both"/>
        <w:rPr>
          <w:rFonts w:ascii="Arial" w:eastAsia="Times New Roman" w:hAnsi="Arial" w:cs="Arial"/>
          <w:color w:val="000000"/>
          <w:sz w:val="24"/>
          <w:szCs w:val="24"/>
        </w:rPr>
      </w:pPr>
      <w:r w:rsidRPr="003179DF">
        <w:rPr>
          <w:rFonts w:ascii="Arial" w:eastAsia="Times New Roman" w:hAnsi="Arial" w:cs="Arial"/>
          <w:color w:val="000000"/>
          <w:sz w:val="24"/>
          <w:szCs w:val="24"/>
        </w:rPr>
        <w:t> </w:t>
      </w:r>
    </w:p>
    <w:p w:rsidR="003179DF" w:rsidRPr="003179DF" w:rsidRDefault="003179DF" w:rsidP="003179DF">
      <w:pPr>
        <w:shd w:val="clear" w:color="auto" w:fill="FFFFFF"/>
        <w:spacing w:after="100" w:afterAutospacing="1" w:line="240" w:lineRule="auto"/>
        <w:jc w:val="both"/>
        <w:rPr>
          <w:rFonts w:ascii="Arial" w:eastAsia="Times New Roman" w:hAnsi="Arial" w:cs="Arial"/>
          <w:b/>
          <w:bCs/>
          <w:i/>
          <w:iCs/>
          <w:color w:val="000000"/>
          <w:sz w:val="32"/>
          <w:szCs w:val="32"/>
        </w:rPr>
      </w:pPr>
      <w:r w:rsidRPr="003179DF">
        <w:rPr>
          <w:rFonts w:ascii="Arial" w:eastAsia="Times New Roman" w:hAnsi="Arial" w:cs="Arial"/>
          <w:b/>
          <w:bCs/>
          <w:i/>
          <w:iCs/>
          <w:color w:val="000000"/>
          <w:sz w:val="32"/>
          <w:szCs w:val="32"/>
          <w:u w:val="single"/>
        </w:rPr>
        <w:t>Market Equity Reviews</w:t>
      </w:r>
    </w:p>
    <w:p w:rsidR="003179DF" w:rsidRPr="003179DF" w:rsidRDefault="003179DF" w:rsidP="003179DF">
      <w:pPr>
        <w:shd w:val="clear" w:color="auto" w:fill="FFFFFF"/>
        <w:spacing w:before="100" w:beforeAutospacing="1" w:after="0" w:line="240" w:lineRule="auto"/>
        <w:jc w:val="both"/>
        <w:rPr>
          <w:rFonts w:ascii="Arial" w:eastAsia="Times New Roman" w:hAnsi="Arial" w:cs="Arial"/>
          <w:color w:val="000000"/>
          <w:sz w:val="24"/>
          <w:szCs w:val="24"/>
        </w:rPr>
      </w:pPr>
      <w:r w:rsidRPr="003179DF">
        <w:rPr>
          <w:rFonts w:ascii="Arial" w:eastAsia="Times New Roman" w:hAnsi="Arial" w:cs="Arial"/>
          <w:color w:val="000000"/>
          <w:sz w:val="24"/>
          <w:szCs w:val="24"/>
        </w:rPr>
        <w:t>Leadership of the libraries seeks to equitably compensate library employees based upon</w:t>
      </w:r>
    </w:p>
    <w:p w:rsidR="003179DF" w:rsidRPr="003179DF" w:rsidRDefault="003179DF" w:rsidP="003179DF">
      <w:pPr>
        <w:numPr>
          <w:ilvl w:val="0"/>
          <w:numId w:val="3"/>
        </w:num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the relevant market statistics for salaries for their positions</w:t>
      </w:r>
    </w:p>
    <w:p w:rsidR="003179DF" w:rsidRPr="003179DF" w:rsidRDefault="003179DF" w:rsidP="003179DF">
      <w:pPr>
        <w:numPr>
          <w:ilvl w:val="0"/>
          <w:numId w:val="3"/>
        </w:num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the distribution of the following:</w:t>
      </w:r>
    </w:p>
    <w:p w:rsidR="003179DF" w:rsidRPr="003179DF" w:rsidRDefault="003179DF" w:rsidP="003179DF">
      <w:pPr>
        <w:pStyle w:val="ListParagraph"/>
        <w:numPr>
          <w:ilvl w:val="1"/>
          <w:numId w:val="25"/>
        </w:num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Level and scope of duties;</w:t>
      </w:r>
    </w:p>
    <w:p w:rsidR="003179DF" w:rsidRPr="003179DF" w:rsidRDefault="003179DF" w:rsidP="003179DF">
      <w:pPr>
        <w:pStyle w:val="ListParagraph"/>
        <w:numPr>
          <w:ilvl w:val="1"/>
          <w:numId w:val="25"/>
        </w:num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Complexity of work assignments;</w:t>
      </w:r>
    </w:p>
    <w:p w:rsidR="003179DF" w:rsidRPr="003179DF" w:rsidRDefault="003179DF" w:rsidP="003179DF">
      <w:pPr>
        <w:pStyle w:val="ListParagraph"/>
        <w:numPr>
          <w:ilvl w:val="1"/>
          <w:numId w:val="25"/>
        </w:num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Judgment, authority and decision making exercised;</w:t>
      </w:r>
    </w:p>
    <w:p w:rsidR="003179DF" w:rsidRPr="003179DF" w:rsidRDefault="003179DF" w:rsidP="003179DF">
      <w:pPr>
        <w:pStyle w:val="ListParagraph"/>
        <w:numPr>
          <w:ilvl w:val="1"/>
          <w:numId w:val="25"/>
        </w:num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Skills, Knowledge and Abilities required of the position; and</w:t>
      </w:r>
    </w:p>
    <w:p w:rsidR="003179DF" w:rsidRPr="003179DF" w:rsidRDefault="003179DF" w:rsidP="003179DF">
      <w:pPr>
        <w:pStyle w:val="ListParagraph"/>
        <w:numPr>
          <w:ilvl w:val="1"/>
          <w:numId w:val="25"/>
        </w:num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Autonomy</w:t>
      </w:r>
    </w:p>
    <w:p w:rsidR="003179DF" w:rsidRPr="003179DF" w:rsidRDefault="003179DF" w:rsidP="003179DF">
      <w:pPr>
        <w:numPr>
          <w:ilvl w:val="0"/>
          <w:numId w:val="3"/>
        </w:num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the incumbent's relative educational and professional credentials</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100" w:afterAutospacing="1"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7"/>
          <w:szCs w:val="27"/>
        </w:rPr>
        <w:t>Library Assistants and Library Associates</w:t>
      </w:r>
    </w:p>
    <w:p w:rsidR="003179DF" w:rsidRPr="003179DF" w:rsidRDefault="003179DF" w:rsidP="003179DF">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Based upon market data from the 2006 ALA-APA Salary Survey and in conformance to generally accepted classification and compensation standards, UF Classification and Compensation determined the </w:t>
      </w:r>
      <w:hyperlink r:id="rId12" w:history="1">
        <w:r w:rsidRPr="003179DF">
          <w:rPr>
            <w:rFonts w:ascii="Arial" w:eastAsia="Times New Roman" w:hAnsi="Arial" w:cs="Arial"/>
            <w:color w:val="0000FF"/>
            <w:sz w:val="27"/>
            <w:szCs w:val="27"/>
            <w:u w:val="single"/>
          </w:rPr>
          <w:t>target minimum, mean and maximum salaries</w:t>
        </w:r>
      </w:hyperlink>
      <w:r w:rsidRPr="003179DF">
        <w:rPr>
          <w:rFonts w:ascii="Arial" w:eastAsia="Times New Roman" w:hAnsi="Arial" w:cs="Arial"/>
          <w:color w:val="000000"/>
          <w:sz w:val="27"/>
          <w:szCs w:val="27"/>
        </w:rPr>
        <w:t> for each of the new Library Assistant and Library Associate classifications.</w:t>
      </w:r>
    </w:p>
    <w:p w:rsidR="003179DF" w:rsidRPr="003179DF" w:rsidRDefault="003179DF" w:rsidP="003179DF">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Relevant service and educational credentials were selected as compensable factors that would distinguish between the individual target salaries for employees whose positions were mapped to Library Assistant or Library Associate classifications.  Increasing years of relevant service and educational attainment would result in increased compensation and create the distribution of salaries relative to the targeted average for each of the classifications.</w:t>
      </w:r>
    </w:p>
    <w:p w:rsidR="003179DF" w:rsidRPr="003179DF" w:rsidRDefault="003179DF" w:rsidP="003179DF">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Compensable factor data for each employee whose position was mapped to Library Assistant or Library Associate classifications was collected through the divisional and departmental leadership.  </w:t>
      </w:r>
      <w:hyperlink r:id="rId13" w:history="1">
        <w:r w:rsidRPr="003179DF">
          <w:rPr>
            <w:rFonts w:ascii="Arial" w:eastAsia="Times New Roman" w:hAnsi="Arial" w:cs="Arial"/>
            <w:color w:val="0000FF"/>
            <w:sz w:val="27"/>
            <w:szCs w:val="27"/>
            <w:u w:val="single"/>
          </w:rPr>
          <w:t>Statistics for this data</w:t>
        </w:r>
      </w:hyperlink>
      <w:r w:rsidRPr="003179DF">
        <w:rPr>
          <w:rFonts w:ascii="Arial" w:eastAsia="Times New Roman" w:hAnsi="Arial" w:cs="Arial"/>
          <w:color w:val="000000"/>
          <w:sz w:val="27"/>
          <w:szCs w:val="27"/>
        </w:rPr>
        <w:t>.</w:t>
      </w:r>
    </w:p>
    <w:p w:rsidR="003179DF" w:rsidRPr="003179DF" w:rsidRDefault="003179DF" w:rsidP="003179DF">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lastRenderedPageBreak/>
        <w:t>The </w:t>
      </w:r>
      <w:hyperlink r:id="rId14" w:history="1">
        <w:r w:rsidRPr="003179DF">
          <w:rPr>
            <w:rFonts w:ascii="Arial" w:eastAsia="Times New Roman" w:hAnsi="Arial" w:cs="Arial"/>
            <w:color w:val="0000FF"/>
            <w:sz w:val="27"/>
            <w:szCs w:val="27"/>
            <w:u w:val="single"/>
          </w:rPr>
          <w:t>relative weight</w:t>
        </w:r>
      </w:hyperlink>
      <w:r w:rsidRPr="003179DF">
        <w:rPr>
          <w:rFonts w:ascii="Arial" w:eastAsia="Times New Roman" w:hAnsi="Arial" w:cs="Arial"/>
          <w:color w:val="000000"/>
          <w:sz w:val="27"/>
          <w:szCs w:val="27"/>
        </w:rPr>
        <w:t> of the levels for both of the compensable factors was established. The average level of each compensable factor resulted in a weight of 1.0.  Levels above or below the average level for that compensable factor resulted in weightings of below or above 1.0.</w:t>
      </w:r>
    </w:p>
    <w:p w:rsidR="003179DF" w:rsidRPr="003179DF" w:rsidRDefault="003179DF" w:rsidP="003179DF">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compensable factors for each employee’s education and relevant professional experience were averaged to arrive at an overall compensable factor for that employee.  This overall compensable factor was applied to the targeted average salary for the classification to which the employee’s position was mapped.  </w:t>
      </w:r>
      <w:hyperlink r:id="rId15" w:history="1">
        <w:r w:rsidRPr="003179DF">
          <w:rPr>
            <w:rFonts w:ascii="Arial" w:eastAsia="Times New Roman" w:hAnsi="Arial" w:cs="Arial"/>
            <w:color w:val="0000FF"/>
            <w:sz w:val="27"/>
            <w:szCs w:val="27"/>
            <w:u w:val="single"/>
          </w:rPr>
          <w:t>(Example)</w:t>
        </w:r>
      </w:hyperlink>
      <w:r w:rsidRPr="003179DF">
        <w:rPr>
          <w:rFonts w:ascii="Arial" w:eastAsia="Times New Roman" w:hAnsi="Arial" w:cs="Arial"/>
          <w:color w:val="000000"/>
          <w:sz w:val="27"/>
          <w:szCs w:val="27"/>
        </w:rPr>
        <w:t>  The resulting wage was the target wage for the employee and reflected the market for their duties and their relative educational and professional credentials.</w:t>
      </w:r>
    </w:p>
    <w:p w:rsidR="003179DF" w:rsidRPr="003179DF" w:rsidRDefault="003179DF" w:rsidP="003179DF">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resulting statistics for the application of this process to the 119 employees whose positions were mapped to the Library Assistant and Library Associate classifications are summarized </w:t>
      </w:r>
      <w:hyperlink r:id="rId16" w:history="1">
        <w:r w:rsidRPr="003179DF">
          <w:rPr>
            <w:rFonts w:ascii="Arial" w:eastAsia="Times New Roman" w:hAnsi="Arial" w:cs="Arial"/>
            <w:color w:val="0000FF"/>
            <w:sz w:val="27"/>
            <w:szCs w:val="27"/>
            <w:u w:val="single"/>
          </w:rPr>
          <w:t>here</w:t>
        </w:r>
      </w:hyperlink>
      <w:r w:rsidRPr="003179DF">
        <w:rPr>
          <w:rFonts w:ascii="Arial" w:eastAsia="Times New Roman" w:hAnsi="Arial" w:cs="Arial"/>
          <w:color w:val="000000"/>
          <w:sz w:val="27"/>
          <w:szCs w:val="27"/>
        </w:rPr>
        <w:t>.</w:t>
      </w:r>
    </w:p>
    <w:p w:rsidR="003179DF" w:rsidRPr="003179DF" w:rsidRDefault="003179DF" w:rsidP="003179DF">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As a result of the market equity review and application of the compensable factors, 104 of the 119 employees whose positions were mapped to Library Assistant or Library Associate classifications are subject to a salary increase in order to achieve the target salary for their position.</w:t>
      </w:r>
    </w:p>
    <w:p w:rsidR="003179DF" w:rsidRPr="003179DF" w:rsidRDefault="003179DF" w:rsidP="003179DF">
      <w:pPr>
        <w:shd w:val="clear" w:color="auto" w:fill="FFFFFF"/>
        <w:spacing w:before="100" w:beforeAutospacing="1" w:after="100" w:afterAutospacing="1"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7"/>
          <w:szCs w:val="27"/>
        </w:rPr>
        <w:t>Positions Other than Library Assistants and Library Associates</w:t>
      </w:r>
    </w:p>
    <w:p w:rsidR="003179DF" w:rsidRPr="003179DF" w:rsidRDefault="003179DF" w:rsidP="003179DF">
      <w:pPr>
        <w:numPr>
          <w:ilvl w:val="0"/>
          <w:numId w:val="5"/>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Campus market data was collected for the salaries of relevant classifications.  This data included UF and the Health Science Center.  (LINKS: </w:t>
      </w:r>
      <w:hyperlink r:id="rId17" w:history="1">
        <w:r w:rsidRPr="003179DF">
          <w:rPr>
            <w:rFonts w:ascii="Arial" w:eastAsia="Times New Roman" w:hAnsi="Arial" w:cs="Arial"/>
            <w:color w:val="0000FF"/>
            <w:sz w:val="27"/>
            <w:szCs w:val="27"/>
            <w:u w:val="single"/>
          </w:rPr>
          <w:t>IT Positions</w:t>
        </w:r>
      </w:hyperlink>
      <w:r w:rsidRPr="003179DF">
        <w:rPr>
          <w:rFonts w:ascii="Arial" w:eastAsia="Times New Roman" w:hAnsi="Arial" w:cs="Arial"/>
          <w:color w:val="000000"/>
          <w:sz w:val="27"/>
          <w:szCs w:val="27"/>
        </w:rPr>
        <w:t> and </w:t>
      </w:r>
      <w:hyperlink r:id="rId18" w:history="1">
        <w:r w:rsidRPr="003179DF">
          <w:rPr>
            <w:rFonts w:ascii="Arial" w:eastAsia="Times New Roman" w:hAnsi="Arial" w:cs="Arial"/>
            <w:color w:val="0000FF"/>
            <w:sz w:val="27"/>
            <w:szCs w:val="27"/>
            <w:u w:val="single"/>
          </w:rPr>
          <w:t>All Other Positions</w:t>
        </w:r>
      </w:hyperlink>
      <w:r w:rsidRPr="003179DF">
        <w:rPr>
          <w:rFonts w:ascii="Arial" w:eastAsia="Times New Roman" w:hAnsi="Arial" w:cs="Arial"/>
          <w:color w:val="000000"/>
          <w:sz w:val="27"/>
          <w:szCs w:val="27"/>
        </w:rPr>
        <w:t>).</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b/>
          <w:bCs/>
          <w:i/>
          <w:iCs/>
          <w:color w:val="000000"/>
          <w:sz w:val="27"/>
          <w:szCs w:val="27"/>
        </w:rPr>
        <w:t>IT Positions</w:t>
      </w:r>
    </w:p>
    <w:p w:rsidR="003179DF" w:rsidRPr="003179DF" w:rsidRDefault="003179DF" w:rsidP="003179DF">
      <w:pPr>
        <w:numPr>
          <w:ilvl w:val="1"/>
          <w:numId w:val="6"/>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shd w:val="clear" w:color="auto" w:fill="FFFFFF"/>
        </w:rPr>
        <w:t>12 </w:t>
      </w:r>
      <w:r w:rsidRPr="003179DF">
        <w:rPr>
          <w:rFonts w:ascii="Arial" w:eastAsia="Times New Roman" w:hAnsi="Arial" w:cs="Arial"/>
          <w:color w:val="000000"/>
          <w:sz w:val="27"/>
          <w:szCs w:val="27"/>
        </w:rPr>
        <w:t>positions (1 of which is vacant) within the Systems Department and 6 positions from various other units and departments were reviewed and determined to be primarily IT positions.</w:t>
      </w:r>
    </w:p>
    <w:p w:rsidR="003179DF" w:rsidRPr="003179DF" w:rsidRDefault="003179DF" w:rsidP="003179DF">
      <w:pPr>
        <w:numPr>
          <w:ilvl w:val="1"/>
          <w:numId w:val="6"/>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These positions were mapped into the appropriate IT classifications based upon the </w:t>
      </w:r>
      <w:hyperlink r:id="rId19" w:history="1">
        <w:r w:rsidRPr="003179DF">
          <w:rPr>
            <w:rFonts w:ascii="Arial" w:eastAsia="Times New Roman" w:hAnsi="Arial" w:cs="Arial"/>
            <w:color w:val="0000FF"/>
            <w:sz w:val="27"/>
            <w:szCs w:val="27"/>
            <w:u w:val="single"/>
          </w:rPr>
          <w:t>UF classification descriptions</w:t>
        </w:r>
      </w:hyperlink>
      <w:r w:rsidRPr="003179DF">
        <w:rPr>
          <w:rFonts w:ascii="Arial" w:eastAsia="Times New Roman" w:hAnsi="Arial" w:cs="Arial"/>
          <w:color w:val="000000"/>
          <w:sz w:val="27"/>
          <w:szCs w:val="27"/>
        </w:rPr>
        <w:t> and the current position descriptions.  The classifications for each of the Smathers IT positions was reviewed by UF Classification and Compensation and confirmed.</w:t>
      </w:r>
    </w:p>
    <w:p w:rsidR="003179DF" w:rsidRPr="003179DF" w:rsidRDefault="003179DF" w:rsidP="003179DF">
      <w:pPr>
        <w:numPr>
          <w:ilvl w:val="1"/>
          <w:numId w:val="6"/>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 Smathers IT employees were assigned over three UF IT classifications: IT Specialist, IT Expert, and IT SR.</w:t>
      </w:r>
    </w:p>
    <w:p w:rsidR="003179DF" w:rsidRPr="003179DF" w:rsidRDefault="003179DF" w:rsidP="003179DF">
      <w:pPr>
        <w:numPr>
          <w:ilvl w:val="1"/>
          <w:numId w:val="6"/>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 xml:space="preserve">The complexity of duties, responsibilities, and technical requirements of the positions assigned within each of the classifications was compared.  It was determined that there was sufficient distinction in these factors between the positions assigned to the IT Expert and IT SR classifications to require banding of those positions into salary steps.  These steps permitted internal equity between individual </w:t>
      </w:r>
      <w:r w:rsidRPr="003179DF">
        <w:rPr>
          <w:rFonts w:ascii="Arial" w:eastAsia="Times New Roman" w:hAnsi="Arial" w:cs="Arial"/>
          <w:color w:val="000000"/>
          <w:sz w:val="27"/>
          <w:szCs w:val="27"/>
        </w:rPr>
        <w:lastRenderedPageBreak/>
        <w:t>positions within these broad classifications based upon the level of the position's duties.  The target salaries for each classification and for the IT Expert and IT SR steps within those classifications was determined based upon internal and external (campus) equity.  The result was the Smathers IT structure depicted </w:t>
      </w:r>
      <w:hyperlink r:id="rId20" w:history="1">
        <w:r w:rsidRPr="003179DF">
          <w:rPr>
            <w:rFonts w:ascii="Arial" w:eastAsia="Times New Roman" w:hAnsi="Arial" w:cs="Arial"/>
            <w:color w:val="0000FF"/>
            <w:sz w:val="27"/>
            <w:szCs w:val="27"/>
            <w:u w:val="single"/>
          </w:rPr>
          <w:t>here</w:t>
        </w:r>
      </w:hyperlink>
      <w:r w:rsidRPr="003179DF">
        <w:rPr>
          <w:rFonts w:ascii="Arial" w:eastAsia="Times New Roman" w:hAnsi="Arial" w:cs="Arial"/>
          <w:color w:val="000000"/>
          <w:sz w:val="27"/>
          <w:szCs w:val="27"/>
        </w:rPr>
        <w:t>.</w:t>
      </w:r>
    </w:p>
    <w:p w:rsidR="003179DF" w:rsidRPr="003179DF" w:rsidRDefault="003179DF" w:rsidP="003179DF">
      <w:pPr>
        <w:shd w:val="clear" w:color="auto" w:fill="FFFFFF"/>
        <w:spacing w:after="0" w:line="240" w:lineRule="auto"/>
        <w:ind w:left="1740"/>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b/>
          <w:bCs/>
          <w:i/>
          <w:iCs/>
          <w:color w:val="000000"/>
          <w:sz w:val="27"/>
          <w:szCs w:val="27"/>
        </w:rPr>
        <w:t>Non-IT Positions</w:t>
      </w:r>
    </w:p>
    <w:p w:rsidR="003179DF" w:rsidRPr="003179DF" w:rsidRDefault="003179DF" w:rsidP="003179DF">
      <w:pPr>
        <w:numPr>
          <w:ilvl w:val="1"/>
          <w:numId w:val="7"/>
        </w:numPr>
        <w:shd w:val="clear" w:color="auto" w:fill="FFFFFF"/>
        <w:spacing w:before="100" w:beforeAutospacing="1" w:after="100" w:afterAutospacing="1" w:line="240" w:lineRule="auto"/>
        <w:ind w:left="990"/>
        <w:rPr>
          <w:rFonts w:ascii="Arial" w:eastAsia="Times New Roman" w:hAnsi="Arial" w:cs="Arial"/>
          <w:color w:val="000000"/>
          <w:sz w:val="27"/>
          <w:szCs w:val="27"/>
        </w:rPr>
      </w:pPr>
      <w:r w:rsidRPr="003179DF">
        <w:rPr>
          <w:rFonts w:ascii="Arial" w:eastAsia="Times New Roman" w:hAnsi="Arial" w:cs="Arial"/>
          <w:color w:val="000000"/>
          <w:sz w:val="27"/>
          <w:szCs w:val="27"/>
        </w:rPr>
        <w:t>There 23 Non-IT positions occupied by library employees.</w:t>
      </w:r>
    </w:p>
    <w:p w:rsidR="003179DF" w:rsidRPr="003179DF" w:rsidRDefault="003179DF" w:rsidP="003179DF">
      <w:pPr>
        <w:numPr>
          <w:ilvl w:val="1"/>
          <w:numId w:val="7"/>
        </w:numPr>
        <w:shd w:val="clear" w:color="auto" w:fill="FFFFFF"/>
        <w:spacing w:before="100" w:beforeAutospacing="1" w:after="100" w:afterAutospacing="1" w:line="240" w:lineRule="auto"/>
        <w:ind w:left="990"/>
        <w:rPr>
          <w:rFonts w:ascii="Arial" w:eastAsia="Times New Roman" w:hAnsi="Arial" w:cs="Arial"/>
          <w:color w:val="000000"/>
          <w:sz w:val="27"/>
          <w:szCs w:val="27"/>
        </w:rPr>
      </w:pPr>
      <w:r w:rsidRPr="003179DF">
        <w:rPr>
          <w:rFonts w:ascii="Arial" w:eastAsia="Times New Roman" w:hAnsi="Arial" w:cs="Arial"/>
          <w:color w:val="000000"/>
          <w:sz w:val="27"/>
          <w:szCs w:val="27"/>
        </w:rPr>
        <w:t>These positions were reviewed for internal equity and compared to salary data for other occupants of the same classifications from UF and the Health Science Center.  The campus median salaries for these classifications were established as the target salary for the occupants of these positions.</w:t>
      </w:r>
    </w:p>
    <w:p w:rsidR="003179DF" w:rsidRPr="003179DF" w:rsidRDefault="003179DF" w:rsidP="003179DF">
      <w:pPr>
        <w:numPr>
          <w:ilvl w:val="1"/>
          <w:numId w:val="7"/>
        </w:numPr>
        <w:shd w:val="clear" w:color="auto" w:fill="FFFFFF"/>
        <w:spacing w:before="100" w:beforeAutospacing="1" w:after="100" w:afterAutospacing="1" w:line="240" w:lineRule="auto"/>
        <w:ind w:left="990"/>
        <w:rPr>
          <w:rFonts w:ascii="Arial" w:eastAsia="Times New Roman" w:hAnsi="Arial" w:cs="Arial"/>
          <w:color w:val="000000"/>
          <w:sz w:val="27"/>
          <w:szCs w:val="27"/>
        </w:rPr>
      </w:pPr>
      <w:r w:rsidRPr="003179DF">
        <w:rPr>
          <w:rFonts w:ascii="Arial" w:eastAsia="Times New Roman" w:hAnsi="Arial" w:cs="Arial"/>
          <w:color w:val="000000"/>
          <w:sz w:val="27"/>
          <w:szCs w:val="27"/>
        </w:rPr>
        <w:t>The result was that of these 23 positions, the current salaries of 16 fell below the median (or target) salaries for that classification and 7 positions had salaries at or above the market equity level for their classification.  Those whose current salaries fell below the median were targeted for increases.</w:t>
      </w:r>
    </w:p>
    <w:p w:rsidR="003179DF" w:rsidRPr="003179DF" w:rsidRDefault="003179DF" w:rsidP="003179DF">
      <w:pPr>
        <w:shd w:val="clear" w:color="auto" w:fill="FFFFFF"/>
        <w:spacing w:before="100" w:beforeAutospacing="1" w:after="100" w:afterAutospacing="1"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7"/>
          <w:szCs w:val="27"/>
        </w:rPr>
        <w:t>Results</w:t>
      </w:r>
    </w:p>
    <w:p w:rsidR="003179DF" w:rsidRPr="003179DF" w:rsidRDefault="003179DF" w:rsidP="003179DF">
      <w:pPr>
        <w:numPr>
          <w:ilvl w:val="0"/>
          <w:numId w:val="8"/>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120 employees are targeted for market equity increases to their salaries.  This represents 80% of the Smathers Libraries staff employee population.</w:t>
      </w:r>
    </w:p>
    <w:p w:rsidR="003179DF" w:rsidRPr="003179DF" w:rsidRDefault="003179DF" w:rsidP="003179DF">
      <w:pPr>
        <w:numPr>
          <w:ilvl w:val="0"/>
          <w:numId w:val="8"/>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average target increase for those </w:t>
      </w:r>
      <w:r w:rsidRPr="003179DF">
        <w:rPr>
          <w:rFonts w:ascii="Arial" w:eastAsia="Times New Roman" w:hAnsi="Arial" w:cs="Arial"/>
          <w:color w:val="000000"/>
          <w:sz w:val="27"/>
          <w:szCs w:val="27"/>
          <w:shd w:val="clear" w:color="auto" w:fill="FFFFFF"/>
        </w:rPr>
        <w:t>120</w:t>
      </w:r>
      <w:r w:rsidRPr="003179DF">
        <w:rPr>
          <w:rFonts w:ascii="Arial" w:eastAsia="Times New Roman" w:hAnsi="Arial" w:cs="Arial"/>
          <w:color w:val="000000"/>
          <w:sz w:val="27"/>
          <w:szCs w:val="27"/>
        </w:rPr>
        <w:t> employees is $</w:t>
      </w:r>
      <w:r w:rsidRPr="003179DF">
        <w:rPr>
          <w:rFonts w:ascii="Arial" w:eastAsia="Times New Roman" w:hAnsi="Arial" w:cs="Arial"/>
          <w:color w:val="000000"/>
          <w:sz w:val="27"/>
          <w:szCs w:val="27"/>
          <w:shd w:val="clear" w:color="auto" w:fill="FFFFFF"/>
        </w:rPr>
        <w:t>5,441.57</w:t>
      </w:r>
      <w:r w:rsidRPr="003179DF">
        <w:rPr>
          <w:rFonts w:ascii="Arial" w:eastAsia="Times New Roman" w:hAnsi="Arial" w:cs="Arial"/>
          <w:color w:val="000000"/>
          <w:sz w:val="27"/>
          <w:szCs w:val="27"/>
        </w:rPr>
        <w:t>.</w:t>
      </w:r>
    </w:p>
    <w:p w:rsidR="003179DF" w:rsidRPr="003179DF" w:rsidRDefault="003179DF" w:rsidP="003179DF">
      <w:pPr>
        <w:numPr>
          <w:ilvl w:val="0"/>
          <w:numId w:val="8"/>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total recurring costs associated with the implementation of market equity adjustments fall into 2 categories:</w:t>
      </w:r>
    </w:p>
    <w:p w:rsidR="003179DF" w:rsidRPr="003179DF" w:rsidRDefault="003179DF" w:rsidP="003179DF">
      <w:pPr>
        <w:numPr>
          <w:ilvl w:val="1"/>
          <w:numId w:val="8"/>
        </w:num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3179DF">
        <w:rPr>
          <w:rFonts w:ascii="Arial" w:eastAsia="Times New Roman" w:hAnsi="Arial" w:cs="Arial"/>
          <w:color w:val="000000"/>
          <w:sz w:val="27"/>
          <w:szCs w:val="27"/>
        </w:rPr>
        <w:t>Gross wages.  These are the difference between the targeted salaries and current salaries for those employees who are currently paid below their targets.</w:t>
      </w:r>
    </w:p>
    <w:p w:rsidR="003179DF" w:rsidRPr="003179DF" w:rsidRDefault="003179DF" w:rsidP="003179DF">
      <w:pPr>
        <w:numPr>
          <w:ilvl w:val="1"/>
          <w:numId w:val="8"/>
        </w:num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3179DF">
        <w:rPr>
          <w:rFonts w:ascii="Arial" w:eastAsia="Times New Roman" w:hAnsi="Arial" w:cs="Arial"/>
          <w:color w:val="000000"/>
          <w:sz w:val="27"/>
          <w:szCs w:val="27"/>
        </w:rPr>
        <w:t>Fringe.  This marginal expense is the result of payroll taxes and insurance incurred by the employer for payroll increases.  These costs are at a factor of 18 percent, which means that every increase of $100.00 in wages results in an additional fringe cost of $18 or a total cost of $118.00.</w:t>
      </w:r>
    </w:p>
    <w:p w:rsidR="003179DF" w:rsidRPr="003179DF" w:rsidRDefault="003179DF" w:rsidP="003179DF">
      <w:pPr>
        <w:numPr>
          <w:ilvl w:val="0"/>
          <w:numId w:val="8"/>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total recurring costs associated with achieving the targeted salaries for the 151 staff employee positions will be </w:t>
      </w:r>
      <w:r w:rsidRPr="003179DF">
        <w:rPr>
          <w:rFonts w:ascii="Arial" w:eastAsia="Times New Roman" w:hAnsi="Arial" w:cs="Arial"/>
          <w:color w:val="000000"/>
          <w:sz w:val="27"/>
          <w:szCs w:val="27"/>
          <w:shd w:val="clear" w:color="auto" w:fill="FFFFFF"/>
        </w:rPr>
        <w:t>$770,526.51.  This additional cost will be funded out of the operating budget of the Libraries.</w:t>
      </w:r>
    </w:p>
    <w:p w:rsidR="003179DF" w:rsidRDefault="003179DF" w:rsidP="003179DF">
      <w:pPr>
        <w:shd w:val="clear" w:color="auto" w:fill="FFFFFF"/>
        <w:spacing w:before="100" w:beforeAutospacing="1" w:after="100" w:afterAutospacing="1" w:line="240" w:lineRule="auto"/>
        <w:jc w:val="both"/>
        <w:rPr>
          <w:rFonts w:ascii="Arial" w:eastAsia="Times New Roman" w:hAnsi="Arial" w:cs="Arial"/>
          <w:b/>
          <w:bCs/>
          <w:color w:val="000000"/>
          <w:sz w:val="27"/>
          <w:szCs w:val="27"/>
        </w:rPr>
      </w:pPr>
    </w:p>
    <w:p w:rsidR="003179DF" w:rsidRPr="003179DF" w:rsidRDefault="003179DF" w:rsidP="003179DF">
      <w:pPr>
        <w:shd w:val="clear" w:color="auto" w:fill="FFFFFF"/>
        <w:spacing w:before="100" w:beforeAutospacing="1" w:after="100" w:afterAutospacing="1"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7"/>
          <w:szCs w:val="27"/>
        </w:rPr>
        <w:lastRenderedPageBreak/>
        <w:t>Implementation of Market Equity Adjustment</w:t>
      </w:r>
    </w:p>
    <w:p w:rsidR="003179DF" w:rsidRPr="003179DF" w:rsidRDefault="003179DF" w:rsidP="003179DF">
      <w:pPr>
        <w:numPr>
          <w:ilvl w:val="0"/>
          <w:numId w:val="9"/>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Due to the large recurring cost, the total market equity adjustment is not achievable in one step.</w:t>
      </w:r>
    </w:p>
    <w:p w:rsidR="003179DF" w:rsidRPr="003179DF" w:rsidRDefault="003179DF" w:rsidP="003179DF">
      <w:pPr>
        <w:numPr>
          <w:ilvl w:val="0"/>
          <w:numId w:val="9"/>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adjustments are intended to be phased in over the 2006-07 and 2007-08 fiscal years in </w:t>
      </w:r>
      <w:r w:rsidRPr="003179DF">
        <w:rPr>
          <w:rFonts w:ascii="Arial" w:eastAsia="Times New Roman" w:hAnsi="Arial" w:cs="Arial"/>
          <w:b/>
          <w:bCs/>
          <w:color w:val="000000"/>
          <w:sz w:val="27"/>
          <w:szCs w:val="27"/>
        </w:rPr>
        <w:t>two</w:t>
      </w:r>
      <w:r w:rsidRPr="003179DF">
        <w:rPr>
          <w:rFonts w:ascii="Arial" w:eastAsia="Times New Roman" w:hAnsi="Arial" w:cs="Arial"/>
          <w:color w:val="000000"/>
          <w:sz w:val="27"/>
          <w:szCs w:val="27"/>
        </w:rPr>
        <w:t> increases.  Each increase will represent </w:t>
      </w:r>
      <w:r w:rsidRPr="003179DF">
        <w:rPr>
          <w:rFonts w:ascii="Arial" w:eastAsia="Times New Roman" w:hAnsi="Arial" w:cs="Arial"/>
          <w:b/>
          <w:bCs/>
          <w:color w:val="000000"/>
          <w:sz w:val="27"/>
          <w:szCs w:val="27"/>
        </w:rPr>
        <w:t>half</w:t>
      </w:r>
      <w:r w:rsidRPr="003179DF">
        <w:rPr>
          <w:rFonts w:ascii="Arial" w:eastAsia="Times New Roman" w:hAnsi="Arial" w:cs="Arial"/>
          <w:color w:val="000000"/>
          <w:sz w:val="27"/>
          <w:szCs w:val="27"/>
        </w:rPr>
        <w:t> of the difference between the employee’s current salary and the target salary arrived at through the processes described above.</w:t>
      </w:r>
    </w:p>
    <w:p w:rsidR="003179DF" w:rsidRPr="003179DF" w:rsidRDefault="003179DF" w:rsidP="003179DF">
      <w:pPr>
        <w:numPr>
          <w:ilvl w:val="0"/>
          <w:numId w:val="9"/>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Effective as soon as administratively feasible, the first increase, representing new and recurring costs totaling $</w:t>
      </w:r>
      <w:r w:rsidRPr="003179DF">
        <w:rPr>
          <w:rFonts w:ascii="Arial" w:eastAsia="Times New Roman" w:hAnsi="Arial" w:cs="Arial"/>
          <w:color w:val="000000"/>
          <w:sz w:val="27"/>
          <w:szCs w:val="27"/>
          <w:shd w:val="clear" w:color="auto" w:fill="FFFFFF"/>
        </w:rPr>
        <w:t>385,263.26</w:t>
      </w:r>
      <w:r w:rsidRPr="003179DF">
        <w:rPr>
          <w:rFonts w:ascii="Arial" w:eastAsia="Times New Roman" w:hAnsi="Arial" w:cs="Arial"/>
          <w:color w:val="000000"/>
          <w:sz w:val="27"/>
          <w:szCs w:val="27"/>
        </w:rPr>
        <w:t>, will be implemented.</w:t>
      </w:r>
    </w:p>
    <w:p w:rsidR="003179DF" w:rsidRPr="003179DF" w:rsidRDefault="003179DF" w:rsidP="003179DF">
      <w:pPr>
        <w:shd w:val="clear" w:color="auto" w:fill="FFFFFF"/>
        <w:spacing w:before="100" w:beforeAutospacing="1" w:after="100" w:afterAutospacing="1" w:line="240" w:lineRule="auto"/>
        <w:rPr>
          <w:rFonts w:ascii="Arial" w:eastAsia="Times New Roman" w:hAnsi="Arial" w:cs="Arial"/>
          <w:b/>
          <w:bCs/>
          <w:color w:val="000000"/>
          <w:sz w:val="27"/>
          <w:szCs w:val="27"/>
        </w:rPr>
      </w:pPr>
      <w:r w:rsidRPr="003179DF">
        <w:rPr>
          <w:rFonts w:ascii="Arial" w:eastAsia="Times New Roman" w:hAnsi="Arial" w:cs="Arial"/>
          <w:b/>
          <w:bCs/>
          <w:color w:val="000000"/>
          <w:sz w:val="27"/>
          <w:szCs w:val="27"/>
        </w:rPr>
        <w:t>Implementation Dates</w:t>
      </w:r>
    </w:p>
    <w:p w:rsidR="003179DF" w:rsidRPr="003179DF" w:rsidRDefault="003179DF" w:rsidP="003179DF">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b/>
          <w:bCs/>
          <w:color w:val="000000"/>
          <w:sz w:val="27"/>
          <w:szCs w:val="27"/>
        </w:rPr>
        <w:t>April 19, 2007</w:t>
      </w:r>
      <w:r w:rsidRPr="003179DF">
        <w:rPr>
          <w:rFonts w:ascii="Arial" w:eastAsia="Times New Roman" w:hAnsi="Arial" w:cs="Arial"/>
          <w:color w:val="000000"/>
          <w:sz w:val="27"/>
          <w:szCs w:val="27"/>
        </w:rPr>
        <w:t>   -   Announcement to All Staff regarding Implementation</w:t>
      </w:r>
    </w:p>
    <w:p w:rsidR="003179DF" w:rsidRPr="003179DF" w:rsidRDefault="003179DF" w:rsidP="003179DF">
      <w:pPr>
        <w:numPr>
          <w:ilvl w:val="0"/>
          <w:numId w:val="11"/>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b/>
          <w:bCs/>
          <w:color w:val="000000"/>
          <w:sz w:val="27"/>
          <w:szCs w:val="27"/>
        </w:rPr>
        <w:t>April 20, 2007  </w:t>
      </w:r>
      <w:r w:rsidRPr="003179DF">
        <w:rPr>
          <w:rFonts w:ascii="Arial" w:eastAsia="Times New Roman" w:hAnsi="Arial" w:cs="Arial"/>
          <w:color w:val="000000"/>
          <w:sz w:val="27"/>
          <w:szCs w:val="27"/>
        </w:rPr>
        <w:t> -   Individual Memorandum to staff employees regarding their individual classification determinations and market equity target</w:t>
      </w:r>
    </w:p>
    <w:p w:rsidR="003179DF" w:rsidRPr="003179DF" w:rsidRDefault="003179DF" w:rsidP="003179DF">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b/>
          <w:bCs/>
          <w:color w:val="000000"/>
          <w:sz w:val="27"/>
          <w:szCs w:val="27"/>
        </w:rPr>
        <w:t>April 23 - April 25, 2007</w:t>
      </w:r>
      <w:r w:rsidRPr="003179DF">
        <w:rPr>
          <w:rFonts w:ascii="Arial" w:eastAsia="Times New Roman" w:hAnsi="Arial" w:cs="Arial"/>
          <w:color w:val="000000"/>
          <w:sz w:val="27"/>
          <w:szCs w:val="27"/>
        </w:rPr>
        <w:t>   -   Information Sessions</w:t>
      </w:r>
    </w:p>
    <w:p w:rsidR="003179DF" w:rsidRPr="003179DF" w:rsidRDefault="003179DF" w:rsidP="003179DF">
      <w:pPr>
        <w:numPr>
          <w:ilvl w:val="1"/>
          <w:numId w:val="12"/>
        </w:numPr>
        <w:shd w:val="clear" w:color="auto" w:fill="FFFFFF"/>
        <w:spacing w:beforeAutospacing="1" w:after="0" w:afterAutospacing="1" w:line="240" w:lineRule="auto"/>
        <w:ind w:left="720"/>
        <w:rPr>
          <w:rFonts w:ascii="Arial" w:eastAsia="Times New Roman" w:hAnsi="Arial" w:cs="Arial"/>
          <w:color w:val="000000"/>
          <w:sz w:val="27"/>
          <w:szCs w:val="27"/>
        </w:rPr>
      </w:pPr>
      <w:r w:rsidRPr="003179DF">
        <w:rPr>
          <w:rFonts w:ascii="Arial" w:eastAsia="Times New Roman" w:hAnsi="Arial" w:cs="Arial"/>
          <w:b/>
          <w:bCs/>
          <w:color w:val="000000"/>
          <w:sz w:val="27"/>
          <w:szCs w:val="27"/>
        </w:rPr>
        <w:t>Monday, April 23  -   1:30 pm  -   MSL 107</w:t>
      </w:r>
    </w:p>
    <w:p w:rsidR="003179DF" w:rsidRPr="003179DF" w:rsidRDefault="003179DF" w:rsidP="003179DF">
      <w:pPr>
        <w:numPr>
          <w:ilvl w:val="1"/>
          <w:numId w:val="12"/>
        </w:numPr>
        <w:shd w:val="clear" w:color="auto" w:fill="FFFFFF"/>
        <w:spacing w:beforeAutospacing="1" w:after="0" w:afterAutospacing="1" w:line="240" w:lineRule="auto"/>
        <w:ind w:left="720"/>
        <w:rPr>
          <w:rFonts w:ascii="Arial" w:eastAsia="Times New Roman" w:hAnsi="Arial" w:cs="Arial"/>
          <w:color w:val="000000"/>
          <w:sz w:val="27"/>
          <w:szCs w:val="27"/>
        </w:rPr>
      </w:pPr>
      <w:r w:rsidRPr="003179DF">
        <w:rPr>
          <w:rFonts w:ascii="Arial" w:eastAsia="Times New Roman" w:hAnsi="Arial" w:cs="Arial"/>
          <w:b/>
          <w:bCs/>
          <w:color w:val="000000"/>
          <w:sz w:val="27"/>
          <w:szCs w:val="27"/>
        </w:rPr>
        <w:t>Tuesday, April 24  -   8:30 am   -  Smathers 100</w:t>
      </w:r>
    </w:p>
    <w:p w:rsidR="003179DF" w:rsidRPr="003179DF" w:rsidRDefault="003179DF" w:rsidP="003179DF">
      <w:pPr>
        <w:numPr>
          <w:ilvl w:val="1"/>
          <w:numId w:val="12"/>
        </w:numPr>
        <w:shd w:val="clear" w:color="auto" w:fill="FFFFFF"/>
        <w:spacing w:beforeAutospacing="1" w:after="0" w:afterAutospacing="1" w:line="240" w:lineRule="auto"/>
        <w:ind w:left="720"/>
        <w:rPr>
          <w:rFonts w:ascii="Arial" w:eastAsia="Times New Roman" w:hAnsi="Arial" w:cs="Arial"/>
          <w:color w:val="000000"/>
          <w:sz w:val="27"/>
          <w:szCs w:val="27"/>
        </w:rPr>
      </w:pPr>
      <w:r w:rsidRPr="003179DF">
        <w:rPr>
          <w:rFonts w:ascii="Arial" w:eastAsia="Times New Roman" w:hAnsi="Arial" w:cs="Arial"/>
          <w:b/>
          <w:bCs/>
          <w:color w:val="000000"/>
          <w:sz w:val="27"/>
          <w:szCs w:val="27"/>
        </w:rPr>
        <w:t>Wednesday, April 25  -   11 am  -   MSL 107</w:t>
      </w:r>
    </w:p>
    <w:p w:rsidR="003179DF" w:rsidRPr="003179DF" w:rsidRDefault="003179DF" w:rsidP="003179DF">
      <w:pPr>
        <w:numPr>
          <w:ilvl w:val="1"/>
          <w:numId w:val="12"/>
        </w:num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3179DF">
        <w:rPr>
          <w:rFonts w:ascii="Arial" w:eastAsia="Times New Roman" w:hAnsi="Arial" w:cs="Arial"/>
          <w:b/>
          <w:bCs/>
          <w:color w:val="000000"/>
          <w:sz w:val="27"/>
          <w:szCs w:val="27"/>
        </w:rPr>
        <w:t>Monday, April 30     -     4 pm     -     Smathers 100</w:t>
      </w:r>
    </w:p>
    <w:p w:rsidR="003179DF" w:rsidRPr="003179DF" w:rsidRDefault="003179DF" w:rsidP="003179DF">
      <w:pPr>
        <w:shd w:val="clear" w:color="auto" w:fill="FFFFFF"/>
        <w:spacing w:after="0" w:line="240" w:lineRule="auto"/>
        <w:ind w:left="1740"/>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b/>
          <w:bCs/>
          <w:color w:val="000000"/>
          <w:sz w:val="27"/>
          <w:szCs w:val="27"/>
        </w:rPr>
        <w:t>May 4, 2007 </w:t>
      </w:r>
      <w:r w:rsidRPr="003179DF">
        <w:rPr>
          <w:rFonts w:ascii="Arial" w:eastAsia="Times New Roman" w:hAnsi="Arial" w:cs="Arial"/>
          <w:color w:val="000000"/>
          <w:sz w:val="27"/>
          <w:szCs w:val="27"/>
        </w:rPr>
        <w:t>  -   Effective Date for TEAMS reclassifications and all market equity increases</w:t>
      </w:r>
    </w:p>
    <w:p w:rsidR="003179DF" w:rsidRPr="003179DF" w:rsidRDefault="003179DF" w:rsidP="003179DF">
      <w:p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100" w:afterAutospacing="1" w:line="240" w:lineRule="auto"/>
        <w:rPr>
          <w:rFonts w:ascii="Arial" w:eastAsia="Times New Roman" w:hAnsi="Arial" w:cs="Arial"/>
          <w:b/>
          <w:bCs/>
          <w:color w:val="FF0000"/>
          <w:sz w:val="27"/>
          <w:szCs w:val="27"/>
        </w:rPr>
      </w:pPr>
      <w:r w:rsidRPr="003179DF">
        <w:rPr>
          <w:rFonts w:ascii="Arial" w:eastAsia="Times New Roman" w:hAnsi="Arial" w:cs="Arial"/>
          <w:b/>
          <w:bCs/>
          <w:color w:val="FF0000"/>
          <w:sz w:val="27"/>
          <w:szCs w:val="27"/>
        </w:rPr>
        <w:t>  SECOND PHASE IMPLIMENTATION </w:t>
      </w:r>
      <w:r w:rsidRPr="003179DF">
        <w:rPr>
          <w:rFonts w:ascii="Arial" w:eastAsia="Times New Roman" w:hAnsi="Arial" w:cs="Arial"/>
          <w:b/>
          <w:bCs/>
          <w:color w:val="FF0000"/>
          <w:sz w:val="24"/>
          <w:szCs w:val="24"/>
        </w:rPr>
        <w:t>(UPDATED 10/31/07)</w:t>
      </w:r>
    </w:p>
    <w:p w:rsidR="003179DF" w:rsidRPr="003179DF" w:rsidRDefault="003179DF" w:rsidP="003179DF">
      <w:pPr>
        <w:numPr>
          <w:ilvl w:val="0"/>
          <w:numId w:val="13"/>
        </w:numPr>
        <w:shd w:val="clear" w:color="auto" w:fill="FFFFFF"/>
        <w:spacing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second phase of the market equity increases for library staff employees has been approved by the library directors and authorized by the provost.</w:t>
      </w:r>
    </w:p>
    <w:p w:rsidR="003179DF" w:rsidRPr="003179DF" w:rsidRDefault="003179DF" w:rsidP="003179DF">
      <w:pPr>
        <w:numPr>
          <w:ilvl w:val="0"/>
          <w:numId w:val="13"/>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Library Human Resources has been directed to make the second phase of the increases effective on November 2, 2007.  The resulting wage increases will first appear in the subject employees' paychecks on November 21, 2007, for the pay period of November 2 - November 15, 2007.</w:t>
      </w:r>
    </w:p>
    <w:p w:rsidR="003179DF" w:rsidRPr="003179DF" w:rsidRDefault="003179DF" w:rsidP="003179DF">
      <w:pPr>
        <w:numPr>
          <w:ilvl w:val="0"/>
          <w:numId w:val="13"/>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lastRenderedPageBreak/>
        <w:t>The estimated additional costs, to be funded solely by the Libraries, for </w:t>
      </w:r>
      <w:r w:rsidRPr="003179DF">
        <w:rPr>
          <w:rFonts w:ascii="Arial" w:eastAsia="Times New Roman" w:hAnsi="Arial" w:cs="Arial"/>
          <w:b/>
          <w:bCs/>
          <w:color w:val="000000"/>
          <w:sz w:val="27"/>
          <w:szCs w:val="27"/>
          <w:u w:val="single"/>
        </w:rPr>
        <w:t>the second phase</w:t>
      </w:r>
      <w:r w:rsidRPr="003179DF">
        <w:rPr>
          <w:rFonts w:ascii="Arial" w:eastAsia="Times New Roman" w:hAnsi="Arial" w:cs="Arial"/>
          <w:color w:val="000000"/>
          <w:sz w:val="27"/>
          <w:szCs w:val="27"/>
        </w:rPr>
        <w:t> of the staff market equity increases are as follows:</w:t>
      </w:r>
    </w:p>
    <w:p w:rsidR="003179DF" w:rsidRPr="003179DF" w:rsidRDefault="003179DF" w:rsidP="003179DF">
      <w:pPr>
        <w:shd w:val="clear" w:color="auto" w:fill="FFFFFF"/>
        <w:spacing w:beforeAutospacing="1" w:after="0" w:line="240" w:lineRule="auto"/>
        <w:rPr>
          <w:rFonts w:ascii="Arial" w:eastAsia="Times New Roman" w:hAnsi="Arial" w:cs="Arial"/>
          <w:color w:val="000000"/>
          <w:sz w:val="27"/>
          <w:szCs w:val="27"/>
        </w:rPr>
      </w:pPr>
      <w:r w:rsidRPr="003179DF">
        <w:rPr>
          <w:rFonts w:ascii="Arial" w:eastAsia="Times New Roman" w:hAnsi="Arial" w:cs="Arial"/>
          <w:b/>
          <w:bCs/>
          <w:color w:val="000000"/>
          <w:sz w:val="27"/>
          <w:szCs w:val="27"/>
        </w:rPr>
        <w:t> </w:t>
      </w:r>
    </w:p>
    <w:tbl>
      <w:tblPr>
        <w:tblW w:w="0" w:type="auto"/>
        <w:tblCellSpacing w:w="0" w:type="dxa"/>
        <w:tblCellMar>
          <w:left w:w="0" w:type="dxa"/>
          <w:right w:w="0" w:type="dxa"/>
        </w:tblCellMar>
        <w:tblLook w:val="04A0" w:firstRow="1" w:lastRow="0" w:firstColumn="1" w:lastColumn="0" w:noHBand="0" w:noVBand="1"/>
      </w:tblPr>
      <w:tblGrid>
        <w:gridCol w:w="2700"/>
        <w:gridCol w:w="3120"/>
        <w:gridCol w:w="2595"/>
      </w:tblGrid>
      <w:tr w:rsidR="003179DF" w:rsidRPr="003179DF" w:rsidTr="003179DF">
        <w:trPr>
          <w:tblCellSpacing w:w="0" w:type="dxa"/>
        </w:trPr>
        <w:tc>
          <w:tcPr>
            <w:tcW w:w="2700" w:type="dxa"/>
            <w:vAlign w:val="bottom"/>
            <w:hideMark/>
          </w:tcPr>
          <w:p w:rsidR="003179DF" w:rsidRPr="003179DF" w:rsidRDefault="003179DF" w:rsidP="003179DF">
            <w:pPr>
              <w:spacing w:after="0" w:line="240" w:lineRule="auto"/>
              <w:rPr>
                <w:rFonts w:ascii="Arial" w:eastAsia="Times New Roman" w:hAnsi="Arial" w:cs="Arial"/>
                <w:color w:val="000000"/>
                <w:sz w:val="27"/>
                <w:szCs w:val="27"/>
              </w:rPr>
            </w:pPr>
          </w:p>
        </w:tc>
        <w:tc>
          <w:tcPr>
            <w:tcW w:w="3120"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b/>
                <w:bCs/>
                <w:sz w:val="24"/>
                <w:szCs w:val="24"/>
              </w:rPr>
              <w:t>Total Recurring</w:t>
            </w:r>
          </w:p>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b/>
                <w:bCs/>
                <w:sz w:val="24"/>
                <w:szCs w:val="24"/>
              </w:rPr>
              <w:t>Annualized Expense</w:t>
            </w:r>
          </w:p>
        </w:tc>
        <w:tc>
          <w:tcPr>
            <w:tcW w:w="2595" w:type="dxa"/>
            <w:vAlign w:val="bottom"/>
            <w:hideMark/>
          </w:tcPr>
          <w:p w:rsidR="003179DF" w:rsidRPr="003179DF" w:rsidRDefault="003179DF" w:rsidP="003179DF">
            <w:pPr>
              <w:spacing w:after="0" w:line="240" w:lineRule="auto"/>
              <w:jc w:val="center"/>
              <w:rPr>
                <w:rFonts w:ascii="Arial" w:eastAsia="Times New Roman" w:hAnsi="Arial" w:cs="Arial"/>
                <w:b/>
                <w:bCs/>
                <w:sz w:val="24"/>
                <w:szCs w:val="24"/>
              </w:rPr>
            </w:pPr>
            <w:r w:rsidRPr="003179DF">
              <w:rPr>
                <w:rFonts w:ascii="Arial" w:eastAsia="Times New Roman" w:hAnsi="Arial" w:cs="Arial"/>
                <w:b/>
                <w:bCs/>
                <w:sz w:val="24"/>
                <w:szCs w:val="24"/>
              </w:rPr>
              <w:t>Expense for this FY</w:t>
            </w:r>
          </w:p>
          <w:p w:rsidR="003179DF" w:rsidRPr="003179DF" w:rsidRDefault="003179DF" w:rsidP="003179DF">
            <w:pPr>
              <w:spacing w:after="0" w:line="240" w:lineRule="auto"/>
              <w:jc w:val="center"/>
              <w:rPr>
                <w:rFonts w:ascii="Arial" w:eastAsia="Times New Roman" w:hAnsi="Arial" w:cs="Arial"/>
                <w:b/>
                <w:bCs/>
                <w:sz w:val="24"/>
                <w:szCs w:val="24"/>
              </w:rPr>
            </w:pPr>
            <w:r w:rsidRPr="003179DF">
              <w:rPr>
                <w:rFonts w:ascii="Arial" w:eastAsia="Times New Roman" w:hAnsi="Arial" w:cs="Arial"/>
                <w:b/>
                <w:bCs/>
                <w:sz w:val="24"/>
                <w:szCs w:val="24"/>
              </w:rPr>
              <w:t>11/2/07 - 6/30/08</w:t>
            </w:r>
          </w:p>
        </w:tc>
      </w:tr>
      <w:tr w:rsidR="003179DF" w:rsidRPr="003179DF" w:rsidTr="003179DF">
        <w:trPr>
          <w:tblCellSpacing w:w="0" w:type="dxa"/>
        </w:trPr>
        <w:tc>
          <w:tcPr>
            <w:tcW w:w="2700" w:type="dxa"/>
            <w:vAlign w:val="bottom"/>
            <w:hideMark/>
          </w:tcPr>
          <w:p w:rsidR="003179DF" w:rsidRPr="003179DF" w:rsidRDefault="003179DF" w:rsidP="003179DF">
            <w:pPr>
              <w:spacing w:after="0" w:line="240" w:lineRule="auto"/>
              <w:jc w:val="right"/>
              <w:rPr>
                <w:rFonts w:ascii="Arial" w:eastAsia="Times New Roman" w:hAnsi="Arial" w:cs="Arial"/>
                <w:sz w:val="24"/>
                <w:szCs w:val="24"/>
              </w:rPr>
            </w:pPr>
            <w:r w:rsidRPr="003179DF">
              <w:rPr>
                <w:rFonts w:ascii="Arial" w:eastAsia="Times New Roman" w:hAnsi="Arial" w:cs="Arial"/>
                <w:b/>
                <w:bCs/>
                <w:sz w:val="24"/>
                <w:szCs w:val="24"/>
              </w:rPr>
              <w:t>Gross Wages</w:t>
            </w:r>
          </w:p>
        </w:tc>
        <w:tc>
          <w:tcPr>
            <w:tcW w:w="3120"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sz w:val="24"/>
                <w:szCs w:val="24"/>
              </w:rPr>
              <w:t>$338,852.16</w:t>
            </w:r>
          </w:p>
        </w:tc>
        <w:tc>
          <w:tcPr>
            <w:tcW w:w="2595"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sz w:val="24"/>
                <w:szCs w:val="24"/>
              </w:rPr>
              <w:t>$224,663.62</w:t>
            </w:r>
          </w:p>
        </w:tc>
      </w:tr>
      <w:tr w:rsidR="003179DF" w:rsidRPr="003179DF" w:rsidTr="003179DF">
        <w:trPr>
          <w:tblCellSpacing w:w="0" w:type="dxa"/>
        </w:trPr>
        <w:tc>
          <w:tcPr>
            <w:tcW w:w="2700" w:type="dxa"/>
            <w:vAlign w:val="bottom"/>
            <w:hideMark/>
          </w:tcPr>
          <w:p w:rsidR="003179DF" w:rsidRPr="003179DF" w:rsidRDefault="003179DF" w:rsidP="003179DF">
            <w:pPr>
              <w:spacing w:after="0" w:line="240" w:lineRule="auto"/>
              <w:jc w:val="right"/>
              <w:rPr>
                <w:rFonts w:ascii="Arial" w:eastAsia="Times New Roman" w:hAnsi="Arial" w:cs="Arial"/>
                <w:sz w:val="24"/>
                <w:szCs w:val="24"/>
              </w:rPr>
            </w:pPr>
            <w:r w:rsidRPr="003179DF">
              <w:rPr>
                <w:rFonts w:ascii="Arial" w:eastAsia="Times New Roman" w:hAnsi="Arial" w:cs="Arial"/>
                <w:b/>
                <w:bCs/>
                <w:sz w:val="24"/>
                <w:szCs w:val="24"/>
              </w:rPr>
              <w:t>Wages and Benefits</w:t>
            </w:r>
          </w:p>
        </w:tc>
        <w:tc>
          <w:tcPr>
            <w:tcW w:w="3120"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sz w:val="24"/>
                <w:szCs w:val="24"/>
              </w:rPr>
              <w:t>$399,845.54</w:t>
            </w:r>
          </w:p>
        </w:tc>
        <w:tc>
          <w:tcPr>
            <w:tcW w:w="2595"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sz w:val="24"/>
                <w:szCs w:val="24"/>
              </w:rPr>
              <w:t>$265,103.07</w:t>
            </w:r>
          </w:p>
        </w:tc>
      </w:tr>
    </w:tbl>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numPr>
          <w:ilvl w:val="0"/>
          <w:numId w:val="14"/>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The estimated total annual costs, to be funded solely by the Libraries, for </w:t>
      </w:r>
      <w:r w:rsidRPr="003179DF">
        <w:rPr>
          <w:rFonts w:ascii="Arial" w:eastAsia="Times New Roman" w:hAnsi="Arial" w:cs="Arial"/>
          <w:b/>
          <w:bCs/>
          <w:color w:val="000000"/>
          <w:sz w:val="27"/>
          <w:szCs w:val="27"/>
          <w:u w:val="single"/>
        </w:rPr>
        <w:t>both phases</w:t>
      </w:r>
      <w:r w:rsidRPr="003179DF">
        <w:rPr>
          <w:rFonts w:ascii="Arial" w:eastAsia="Times New Roman" w:hAnsi="Arial" w:cs="Arial"/>
          <w:color w:val="000000"/>
          <w:sz w:val="27"/>
          <w:szCs w:val="27"/>
        </w:rPr>
        <w:t> of the staff market equity increases are as follows:</w:t>
      </w:r>
    </w:p>
    <w:p w:rsidR="003179DF" w:rsidRPr="003179DF" w:rsidRDefault="003179DF" w:rsidP="003179DF">
      <w:p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tbl>
      <w:tblPr>
        <w:tblW w:w="0" w:type="auto"/>
        <w:tblCellSpacing w:w="0" w:type="dxa"/>
        <w:tblCellMar>
          <w:left w:w="0" w:type="dxa"/>
          <w:right w:w="0" w:type="dxa"/>
        </w:tblCellMar>
        <w:tblLook w:val="04A0" w:firstRow="1" w:lastRow="0" w:firstColumn="1" w:lastColumn="0" w:noHBand="0" w:noVBand="1"/>
      </w:tblPr>
      <w:tblGrid>
        <w:gridCol w:w="2700"/>
        <w:gridCol w:w="3120"/>
      </w:tblGrid>
      <w:tr w:rsidR="003179DF" w:rsidRPr="003179DF" w:rsidTr="003179DF">
        <w:trPr>
          <w:tblCellSpacing w:w="0" w:type="dxa"/>
        </w:trPr>
        <w:tc>
          <w:tcPr>
            <w:tcW w:w="2700" w:type="dxa"/>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Times New Roman" w:eastAsia="Times New Roman" w:hAnsi="Times New Roman" w:cs="Times New Roman"/>
                <w:sz w:val="24"/>
                <w:szCs w:val="24"/>
              </w:rPr>
              <w:t> </w:t>
            </w:r>
          </w:p>
        </w:tc>
        <w:tc>
          <w:tcPr>
            <w:tcW w:w="3120"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b/>
                <w:bCs/>
                <w:sz w:val="24"/>
                <w:szCs w:val="24"/>
              </w:rPr>
              <w:t>Total Recurring</w:t>
            </w:r>
          </w:p>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b/>
                <w:bCs/>
                <w:sz w:val="24"/>
                <w:szCs w:val="24"/>
              </w:rPr>
              <w:t>Annualized Expense</w:t>
            </w:r>
          </w:p>
        </w:tc>
      </w:tr>
      <w:tr w:rsidR="003179DF" w:rsidRPr="003179DF" w:rsidTr="003179DF">
        <w:trPr>
          <w:tblCellSpacing w:w="0" w:type="dxa"/>
        </w:trPr>
        <w:tc>
          <w:tcPr>
            <w:tcW w:w="2700" w:type="dxa"/>
            <w:vAlign w:val="bottom"/>
            <w:hideMark/>
          </w:tcPr>
          <w:p w:rsidR="003179DF" w:rsidRPr="003179DF" w:rsidRDefault="003179DF" w:rsidP="003179DF">
            <w:pPr>
              <w:spacing w:after="0" w:line="240" w:lineRule="auto"/>
              <w:jc w:val="right"/>
              <w:rPr>
                <w:rFonts w:ascii="Arial" w:eastAsia="Times New Roman" w:hAnsi="Arial" w:cs="Arial"/>
                <w:sz w:val="24"/>
                <w:szCs w:val="24"/>
              </w:rPr>
            </w:pPr>
            <w:r w:rsidRPr="003179DF">
              <w:rPr>
                <w:rFonts w:ascii="Arial" w:eastAsia="Times New Roman" w:hAnsi="Arial" w:cs="Arial"/>
                <w:b/>
                <w:bCs/>
                <w:sz w:val="24"/>
                <w:szCs w:val="24"/>
              </w:rPr>
              <w:t>Gross Wages</w:t>
            </w:r>
          </w:p>
        </w:tc>
        <w:tc>
          <w:tcPr>
            <w:tcW w:w="3120"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sz w:val="24"/>
                <w:szCs w:val="24"/>
              </w:rPr>
              <w:t>$665,346.44</w:t>
            </w:r>
          </w:p>
        </w:tc>
      </w:tr>
      <w:tr w:rsidR="003179DF" w:rsidRPr="003179DF" w:rsidTr="003179DF">
        <w:trPr>
          <w:tblCellSpacing w:w="0" w:type="dxa"/>
        </w:trPr>
        <w:tc>
          <w:tcPr>
            <w:tcW w:w="2700" w:type="dxa"/>
            <w:vAlign w:val="bottom"/>
            <w:hideMark/>
          </w:tcPr>
          <w:p w:rsidR="003179DF" w:rsidRPr="003179DF" w:rsidRDefault="003179DF" w:rsidP="003179DF">
            <w:pPr>
              <w:spacing w:after="0" w:line="240" w:lineRule="auto"/>
              <w:jc w:val="right"/>
              <w:rPr>
                <w:rFonts w:ascii="Arial" w:eastAsia="Times New Roman" w:hAnsi="Arial" w:cs="Arial"/>
                <w:sz w:val="24"/>
                <w:szCs w:val="24"/>
              </w:rPr>
            </w:pPr>
            <w:r w:rsidRPr="003179DF">
              <w:rPr>
                <w:rFonts w:ascii="Arial" w:eastAsia="Times New Roman" w:hAnsi="Arial" w:cs="Arial"/>
                <w:b/>
                <w:bCs/>
                <w:sz w:val="24"/>
                <w:szCs w:val="24"/>
              </w:rPr>
              <w:t>Wages and Benefits</w:t>
            </w:r>
          </w:p>
        </w:tc>
        <w:tc>
          <w:tcPr>
            <w:tcW w:w="3120" w:type="dxa"/>
            <w:vAlign w:val="bottom"/>
            <w:hideMark/>
          </w:tcPr>
          <w:p w:rsidR="003179DF" w:rsidRPr="003179DF" w:rsidRDefault="003179DF" w:rsidP="003179DF">
            <w:pPr>
              <w:spacing w:after="0" w:line="240" w:lineRule="auto"/>
              <w:jc w:val="center"/>
              <w:rPr>
                <w:rFonts w:ascii="Arial" w:eastAsia="Times New Roman" w:hAnsi="Arial" w:cs="Arial"/>
                <w:sz w:val="24"/>
                <w:szCs w:val="24"/>
              </w:rPr>
            </w:pPr>
            <w:r w:rsidRPr="003179DF">
              <w:rPr>
                <w:rFonts w:ascii="Arial" w:eastAsia="Times New Roman" w:hAnsi="Arial" w:cs="Arial"/>
                <w:sz w:val="24"/>
                <w:szCs w:val="24"/>
              </w:rPr>
              <w:t>$785,108.80</w:t>
            </w:r>
          </w:p>
        </w:tc>
      </w:tr>
    </w:tbl>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numPr>
          <w:ilvl w:val="0"/>
          <w:numId w:val="15"/>
        </w:numPr>
        <w:shd w:val="clear" w:color="auto" w:fill="FFFFFF"/>
        <w:spacing w:before="100" w:beforeAutospacing="1" w:after="100" w:afterAutospacing="1" w:line="240" w:lineRule="auto"/>
        <w:ind w:left="360"/>
        <w:rPr>
          <w:rFonts w:ascii="Arial" w:eastAsia="Times New Roman" w:hAnsi="Arial" w:cs="Arial"/>
          <w:color w:val="000000"/>
          <w:sz w:val="27"/>
          <w:szCs w:val="27"/>
        </w:rPr>
      </w:pPr>
      <w:r w:rsidRPr="003179DF">
        <w:rPr>
          <w:rFonts w:ascii="Arial" w:eastAsia="Times New Roman" w:hAnsi="Arial" w:cs="Arial"/>
          <w:color w:val="000000"/>
          <w:sz w:val="27"/>
          <w:szCs w:val="27"/>
        </w:rPr>
        <w:t>Individual Memorandum to staff employees regarding their individual classification determinations, market equity target, and any subject market equity increases will be issued in mid-November.</w:t>
      </w:r>
    </w:p>
    <w:p w:rsidR="003179DF" w:rsidRPr="003179DF" w:rsidRDefault="003179DF" w:rsidP="003179DF">
      <w:p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100" w:afterAutospacing="1" w:line="240" w:lineRule="auto"/>
        <w:rPr>
          <w:rFonts w:ascii="Arial" w:eastAsia="Times New Roman" w:hAnsi="Arial" w:cs="Arial"/>
          <w:b/>
          <w:bCs/>
          <w:color w:val="FF0000"/>
          <w:sz w:val="27"/>
          <w:szCs w:val="27"/>
        </w:rPr>
      </w:pPr>
      <w:r w:rsidRPr="003179DF">
        <w:rPr>
          <w:rFonts w:ascii="Arial" w:eastAsia="Times New Roman" w:hAnsi="Arial" w:cs="Arial"/>
          <w:b/>
          <w:bCs/>
          <w:color w:val="FF0000"/>
          <w:sz w:val="27"/>
          <w:szCs w:val="27"/>
        </w:rPr>
        <w:t>  Maintenance (2008)</w:t>
      </w:r>
    </w:p>
    <w:p w:rsidR="003179DF" w:rsidRPr="003179DF" w:rsidRDefault="003179DF" w:rsidP="003179DF">
      <w:pPr>
        <w:numPr>
          <w:ilvl w:val="0"/>
          <w:numId w:val="16"/>
        </w:numPr>
        <w:shd w:val="clear" w:color="auto" w:fill="FFFFFF"/>
        <w:spacing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4"/>
          <w:szCs w:val="24"/>
        </w:rPr>
        <w:t>Effective 09/19/08 staff employees at UF received an across the board pay increase equivalent to 2% of their annualized salaries.</w:t>
      </w:r>
    </w:p>
    <w:p w:rsidR="003179DF" w:rsidRPr="003179DF" w:rsidRDefault="003179DF" w:rsidP="003179DF">
      <w:pPr>
        <w:numPr>
          <w:ilvl w:val="0"/>
          <w:numId w:val="16"/>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4"/>
          <w:szCs w:val="24"/>
        </w:rPr>
        <w:t>Midpoint targets for the Library Assistant and Associate classifications were increased by 2 % to reflect this event.  This allows for salary offers to be calculated equitably to the existing staff population.  The new midpoint distributions for the Library Assistant and Associate classifications are depicted </w:t>
      </w:r>
      <w:hyperlink r:id="rId21" w:history="1">
        <w:r w:rsidRPr="003179DF">
          <w:rPr>
            <w:rFonts w:ascii="Arial" w:eastAsia="Times New Roman" w:hAnsi="Arial" w:cs="Arial"/>
            <w:color w:val="0000FF"/>
            <w:sz w:val="24"/>
            <w:szCs w:val="24"/>
            <w:u w:val="single"/>
          </w:rPr>
          <w:t>here</w:t>
        </w:r>
      </w:hyperlink>
      <w:r w:rsidRPr="003179DF">
        <w:rPr>
          <w:rFonts w:ascii="Arial" w:eastAsia="Times New Roman" w:hAnsi="Arial" w:cs="Arial"/>
          <w:color w:val="000000"/>
          <w:sz w:val="24"/>
          <w:szCs w:val="24"/>
        </w:rPr>
        <w:t>.</w:t>
      </w:r>
    </w:p>
    <w:p w:rsidR="003179DF" w:rsidRPr="003179DF" w:rsidRDefault="003179DF" w:rsidP="003179DF">
      <w:pPr>
        <w:numPr>
          <w:ilvl w:val="0"/>
          <w:numId w:val="16"/>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3179DF">
        <w:rPr>
          <w:rFonts w:ascii="Arial" w:eastAsia="Times New Roman" w:hAnsi="Arial" w:cs="Arial"/>
          <w:color w:val="000000"/>
          <w:sz w:val="24"/>
          <w:szCs w:val="24"/>
        </w:rPr>
        <w:t>Salary levels for positions other than Library Assistant and Associate classifications were also increased by 2%.  IT Salaries are depicted </w:t>
      </w:r>
      <w:hyperlink r:id="rId22" w:history="1">
        <w:r w:rsidRPr="003179DF">
          <w:rPr>
            <w:rFonts w:ascii="Arial" w:eastAsia="Times New Roman" w:hAnsi="Arial" w:cs="Arial"/>
            <w:color w:val="0000FF"/>
            <w:sz w:val="24"/>
            <w:szCs w:val="24"/>
            <w:u w:val="single"/>
          </w:rPr>
          <w:t>here.</w:t>
        </w:r>
      </w:hyperlink>
    </w:p>
    <w:p w:rsidR="003179DF" w:rsidRPr="003179DF" w:rsidRDefault="003179DF" w:rsidP="003179DF">
      <w:pPr>
        <w:shd w:val="clear" w:color="auto" w:fill="FFFFFF"/>
        <w:spacing w:before="100" w:beforeAutospacing="1"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b/>
          <w:bCs/>
          <w:color w:val="FF0000"/>
          <w:sz w:val="27"/>
          <w:szCs w:val="27"/>
        </w:rPr>
        <w:t>  HSCL Integration into Smathers Staff Salary Structure (2010)</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4"/>
          <w:szCs w:val="24"/>
        </w:rPr>
        <w:t> </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4"/>
          <w:szCs w:val="24"/>
        </w:rPr>
        <w:t>With the integration of the Health Science Center Libraries into the Smathers Libraries, establishing pay for the HSCL employees at an equitable rate with their Smathers peers became a priority.</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4"/>
          <w:szCs w:val="24"/>
        </w:rPr>
        <w:t> </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4"/>
          <w:szCs w:val="24"/>
        </w:rPr>
        <w:lastRenderedPageBreak/>
        <w:t>The process for reviewing the individual positions and establishing target salaries followed the same basic model as used at the Smathers Libraries in 2007 and described above.  The process for the HSCL positions mapped to library-specific classifications (Library Assistants and Associates) and those mapped to non-library- specific classifications (IT and others) is described below.</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Times New Roman" w:eastAsia="Times New Roman" w:hAnsi="Times New Roman" w:cs="Times New Roman"/>
          <w:color w:val="000000"/>
          <w:sz w:val="24"/>
          <w:szCs w:val="24"/>
        </w:rPr>
        <w:t> </w:t>
      </w:r>
    </w:p>
    <w:p w:rsidR="003179DF" w:rsidRPr="003179DF" w:rsidRDefault="003179DF" w:rsidP="003179DF">
      <w:pPr>
        <w:shd w:val="clear" w:color="auto" w:fill="FFFFFF"/>
        <w:spacing w:after="100" w:afterAutospacing="1"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7"/>
          <w:szCs w:val="27"/>
        </w:rPr>
        <w:t>1. Library Assistant and Library Associate Positions</w:t>
      </w:r>
    </w:p>
    <w:p w:rsidR="003179DF" w:rsidRPr="003179DF" w:rsidRDefault="003179DF" w:rsidP="003179DF">
      <w:pPr>
        <w:shd w:val="clear" w:color="auto" w:fill="FFFFFF"/>
        <w:spacing w:beforeAutospacing="1" w:after="0" w:line="240" w:lineRule="auto"/>
        <w:rPr>
          <w:rFonts w:ascii="Arial" w:eastAsia="Times New Roman" w:hAnsi="Arial" w:cs="Arial"/>
          <w:color w:val="000000"/>
          <w:sz w:val="27"/>
          <w:szCs w:val="27"/>
        </w:rPr>
      </w:pPr>
      <w:r w:rsidRPr="003179DF">
        <w:rPr>
          <w:rFonts w:ascii="Arial" w:eastAsia="Times New Roman" w:hAnsi="Arial" w:cs="Arial"/>
          <w:b/>
          <w:bCs/>
          <w:color w:val="000000"/>
          <w:sz w:val="24"/>
          <w:szCs w:val="24"/>
        </w:rPr>
        <w:t>Classification</w:t>
      </w:r>
    </w:p>
    <w:p w:rsidR="003179DF" w:rsidRPr="003179DF" w:rsidRDefault="003179DF" w:rsidP="003179DF">
      <w:pPr>
        <w:numPr>
          <w:ilvl w:val="0"/>
          <w:numId w:val="17"/>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Each position’s duties, as detailed in the position description (or PD), were compared by the unit and the Smathers HR Office and mapped to the appropriate Library Assistant or Library Associate classification.  The proposed mapping for each position was reviewed for appropriateness, equity and consistency by the HSCL Director.</w:t>
      </w:r>
    </w:p>
    <w:p w:rsidR="003179DF" w:rsidRPr="003179DF" w:rsidRDefault="003179DF" w:rsidP="003179DF">
      <w:pPr>
        <w:numPr>
          <w:ilvl w:val="0"/>
          <w:numId w:val="17"/>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All mapping recommendations were then reviewed by UF Classification and Compensation.</w:t>
      </w:r>
    </w:p>
    <w:p w:rsidR="003179DF" w:rsidRPr="003179DF" w:rsidRDefault="003179DF" w:rsidP="003179DF">
      <w:pPr>
        <w:numPr>
          <w:ilvl w:val="0"/>
          <w:numId w:val="17"/>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 results of the reclassification process are depicted here:</w:t>
      </w:r>
    </w:p>
    <w:p w:rsidR="003179DF" w:rsidRPr="003179DF" w:rsidRDefault="003179DF" w:rsidP="003179DF">
      <w:pPr>
        <w:shd w:val="clear" w:color="auto" w:fill="FFFFFF"/>
        <w:spacing w:beforeAutospacing="1" w:after="0" w:line="240" w:lineRule="auto"/>
        <w:rPr>
          <w:rFonts w:ascii="Arial" w:eastAsia="Times New Roman" w:hAnsi="Arial" w:cs="Arial"/>
          <w:color w:val="000000"/>
          <w:sz w:val="27"/>
          <w:szCs w:val="27"/>
        </w:rPr>
      </w:pPr>
      <w:r w:rsidRPr="003179DF">
        <w:rPr>
          <w:rFonts w:ascii="Arial" w:eastAsia="Times New Roman" w:hAnsi="Arial" w:cs="Arial"/>
          <w:b/>
          <w:bCs/>
          <w:color w:val="000000"/>
          <w:sz w:val="24"/>
          <w:szCs w:val="24"/>
        </w:rPr>
        <w:t>Current Titles</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1380"/>
      </w:tblGrid>
      <w:tr w:rsidR="003179DF" w:rsidRPr="003179DF" w:rsidTr="003179DF">
        <w:trPr>
          <w:tblCellSpacing w:w="0" w:type="dxa"/>
        </w:trPr>
        <w:tc>
          <w:tcPr>
            <w:tcW w:w="33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b/>
                <w:bCs/>
                <w:sz w:val="20"/>
                <w:szCs w:val="20"/>
              </w:rPr>
              <w:t>Current Title</w:t>
            </w:r>
          </w:p>
        </w:tc>
        <w:tc>
          <w:tcPr>
            <w:tcW w:w="13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b/>
                <w:bCs/>
                <w:sz w:val="20"/>
                <w:szCs w:val="20"/>
              </w:rPr>
              <w:t>Employee Count</w:t>
            </w:r>
          </w:p>
        </w:tc>
      </w:tr>
      <w:tr w:rsidR="003179DF" w:rsidRPr="003179DF" w:rsidTr="003179DF">
        <w:trPr>
          <w:tblCellSpacing w:w="0" w:type="dxa"/>
        </w:trPr>
        <w:tc>
          <w:tcPr>
            <w:tcW w:w="33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LIBRARY TECHNICAL AST SPV</w:t>
            </w:r>
          </w:p>
        </w:tc>
        <w:tc>
          <w:tcPr>
            <w:tcW w:w="13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r w:rsidR="003179DF" w:rsidRPr="003179DF" w:rsidTr="003179DF">
        <w:trPr>
          <w:tblCellSpacing w:w="0" w:type="dxa"/>
        </w:trPr>
        <w:tc>
          <w:tcPr>
            <w:tcW w:w="33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LIBRARY TECHNICAL AST, SR</w:t>
            </w:r>
          </w:p>
        </w:tc>
        <w:tc>
          <w:tcPr>
            <w:tcW w:w="13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6</w:t>
            </w:r>
          </w:p>
        </w:tc>
      </w:tr>
      <w:tr w:rsidR="003179DF" w:rsidRPr="003179DF" w:rsidTr="003179DF">
        <w:trPr>
          <w:tblCellSpacing w:w="0" w:type="dxa"/>
        </w:trPr>
        <w:tc>
          <w:tcPr>
            <w:tcW w:w="33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ARCHIVIST</w:t>
            </w:r>
          </w:p>
        </w:tc>
        <w:tc>
          <w:tcPr>
            <w:tcW w:w="13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4</w:t>
            </w:r>
          </w:p>
        </w:tc>
      </w:tr>
      <w:tr w:rsidR="003179DF" w:rsidRPr="003179DF" w:rsidTr="003179DF">
        <w:trPr>
          <w:tblCellSpacing w:w="0" w:type="dxa"/>
        </w:trPr>
        <w:tc>
          <w:tcPr>
            <w:tcW w:w="33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ARCHIVIST, SR</w:t>
            </w:r>
          </w:p>
        </w:tc>
        <w:tc>
          <w:tcPr>
            <w:tcW w:w="13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bl>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b/>
          <w:bCs/>
          <w:color w:val="000000"/>
          <w:sz w:val="24"/>
          <w:szCs w:val="24"/>
        </w:rPr>
        <w:t>Mapped Titles</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tbl>
      <w:tblPr>
        <w:tblW w:w="4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7"/>
        <w:gridCol w:w="1343"/>
      </w:tblGrid>
      <w:tr w:rsidR="003179DF" w:rsidRPr="003179DF" w:rsidTr="003179DF">
        <w:trPr>
          <w:tblCellSpacing w:w="0" w:type="dxa"/>
        </w:trPr>
        <w:tc>
          <w:tcPr>
            <w:tcW w:w="340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before="100" w:beforeAutospacing="1" w:after="0" w:line="240" w:lineRule="auto"/>
              <w:rPr>
                <w:rFonts w:ascii="Times New Roman" w:eastAsia="Times New Roman" w:hAnsi="Times New Roman" w:cs="Times New Roman"/>
                <w:sz w:val="24"/>
                <w:szCs w:val="24"/>
              </w:rPr>
            </w:pPr>
            <w:r w:rsidRPr="003179DF">
              <w:rPr>
                <w:rFonts w:ascii="Arial" w:eastAsia="Times New Roman" w:hAnsi="Arial" w:cs="Arial"/>
                <w:b/>
                <w:bCs/>
                <w:sz w:val="20"/>
                <w:szCs w:val="20"/>
              </w:rPr>
              <w:t>Mapped Title</w:t>
            </w:r>
          </w:p>
        </w:tc>
        <w:tc>
          <w:tcPr>
            <w:tcW w:w="133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b/>
                <w:bCs/>
                <w:sz w:val="20"/>
                <w:szCs w:val="20"/>
              </w:rPr>
              <w:t>Employee Count</w:t>
            </w:r>
          </w:p>
        </w:tc>
      </w:tr>
      <w:tr w:rsidR="003179DF" w:rsidRPr="003179DF" w:rsidTr="003179DF">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Assistant 1</w:t>
            </w:r>
          </w:p>
        </w:tc>
        <w:tc>
          <w:tcPr>
            <w:tcW w:w="133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w:t>
            </w:r>
          </w:p>
        </w:tc>
      </w:tr>
      <w:tr w:rsidR="003179DF" w:rsidRPr="003179DF" w:rsidTr="003179DF">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Assistant 2</w:t>
            </w:r>
          </w:p>
        </w:tc>
        <w:tc>
          <w:tcPr>
            <w:tcW w:w="133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w:t>
            </w:r>
          </w:p>
        </w:tc>
      </w:tr>
      <w:tr w:rsidR="003179DF" w:rsidRPr="003179DF" w:rsidTr="003179DF">
        <w:trPr>
          <w:tblCellSpacing w:w="0" w:type="dxa"/>
        </w:trPr>
        <w:tc>
          <w:tcPr>
            <w:tcW w:w="340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Assistant 3</w:t>
            </w:r>
          </w:p>
        </w:tc>
        <w:tc>
          <w:tcPr>
            <w:tcW w:w="133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6</w:t>
            </w:r>
          </w:p>
        </w:tc>
      </w:tr>
      <w:tr w:rsidR="003179DF" w:rsidRPr="003179DF" w:rsidTr="003179DF">
        <w:trPr>
          <w:tblCellSpacing w:w="0" w:type="dxa"/>
        </w:trPr>
        <w:tc>
          <w:tcPr>
            <w:tcW w:w="340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Associate 1</w:t>
            </w:r>
          </w:p>
        </w:tc>
        <w:tc>
          <w:tcPr>
            <w:tcW w:w="133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5</w:t>
            </w:r>
          </w:p>
        </w:tc>
      </w:tr>
      <w:tr w:rsidR="003179DF" w:rsidRPr="003179DF" w:rsidTr="003179DF">
        <w:trPr>
          <w:tblCellSpacing w:w="0" w:type="dxa"/>
        </w:trPr>
        <w:tc>
          <w:tcPr>
            <w:tcW w:w="340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Associate 2</w:t>
            </w:r>
          </w:p>
        </w:tc>
        <w:tc>
          <w:tcPr>
            <w:tcW w:w="133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r w:rsidR="003179DF" w:rsidRPr="003179DF" w:rsidTr="003179DF">
        <w:trPr>
          <w:tblCellSpacing w:w="0" w:type="dxa"/>
        </w:trPr>
        <w:tc>
          <w:tcPr>
            <w:tcW w:w="340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Associate 3</w:t>
            </w:r>
          </w:p>
        </w:tc>
        <w:tc>
          <w:tcPr>
            <w:tcW w:w="133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w:t>
            </w:r>
          </w:p>
        </w:tc>
      </w:tr>
    </w:tbl>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b/>
          <w:bCs/>
          <w:color w:val="000000"/>
          <w:sz w:val="24"/>
          <w:szCs w:val="24"/>
        </w:rPr>
        <w:t>Distribution of Current Classifications by Mapped Classifications</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3420"/>
        <w:gridCol w:w="1800"/>
      </w:tblGrid>
      <w:tr w:rsidR="003179DF" w:rsidRPr="003179DF" w:rsidTr="003179DF">
        <w:trPr>
          <w:tblCellSpacing w:w="0" w:type="dxa"/>
        </w:trPr>
        <w:tc>
          <w:tcPr>
            <w:tcW w:w="24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before="100" w:beforeAutospacing="1" w:after="0" w:line="240" w:lineRule="auto"/>
              <w:rPr>
                <w:rFonts w:ascii="Times New Roman" w:eastAsia="Times New Roman" w:hAnsi="Times New Roman" w:cs="Times New Roman"/>
                <w:sz w:val="24"/>
                <w:szCs w:val="24"/>
              </w:rPr>
            </w:pPr>
            <w:r w:rsidRPr="003179DF">
              <w:rPr>
                <w:rFonts w:ascii="Arial" w:eastAsia="Times New Roman" w:hAnsi="Arial" w:cs="Arial"/>
                <w:b/>
                <w:bCs/>
                <w:sz w:val="20"/>
                <w:szCs w:val="20"/>
              </w:rPr>
              <w:t>Mapped Classification</w:t>
            </w: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b/>
                <w:bCs/>
                <w:sz w:val="20"/>
                <w:szCs w:val="20"/>
              </w:rPr>
              <w:t>Current Classification</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b/>
                <w:bCs/>
                <w:sz w:val="20"/>
                <w:szCs w:val="20"/>
              </w:rPr>
              <w:t>Employee Count</w:t>
            </w:r>
          </w:p>
        </w:tc>
      </w:tr>
      <w:tr w:rsidR="003179DF" w:rsidRPr="003179DF" w:rsidTr="003179DF">
        <w:trPr>
          <w:tblCellSpacing w:w="0" w:type="dxa"/>
        </w:trPr>
        <w:tc>
          <w:tcPr>
            <w:tcW w:w="24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Assistant 1</w:t>
            </w: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r>
      <w:tr w:rsidR="003179DF" w:rsidRPr="003179DF" w:rsidTr="003179DF">
        <w:trPr>
          <w:tblCellSpacing w:w="0" w:type="dxa"/>
        </w:trPr>
        <w:tc>
          <w:tcPr>
            <w:tcW w:w="24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Assistant 2</w:t>
            </w: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r>
      <w:tr w:rsidR="003179DF" w:rsidRPr="003179DF" w:rsidTr="003179DF">
        <w:trPr>
          <w:tblCellSpacing w:w="0" w:type="dxa"/>
        </w:trPr>
        <w:tc>
          <w:tcPr>
            <w:tcW w:w="24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Assistant 3</w:t>
            </w: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LIBRARY TECHNICAL AST, SR</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6</w:t>
            </w:r>
          </w:p>
        </w:tc>
      </w:tr>
      <w:tr w:rsidR="003179DF" w:rsidRPr="003179DF" w:rsidTr="003179DF">
        <w:trPr>
          <w:tblCellSpacing w:w="0" w:type="dxa"/>
        </w:trPr>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Associate 1</w:t>
            </w: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LIBRARY TECHNICAL AST SPV</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r w:rsidR="003179DF" w:rsidRPr="003179DF" w:rsidTr="003179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79DF" w:rsidRPr="003179DF" w:rsidRDefault="003179DF" w:rsidP="003179DF">
            <w:pPr>
              <w:spacing w:after="0" w:line="240" w:lineRule="auto"/>
              <w:rPr>
                <w:rFonts w:ascii="Times New Roman" w:eastAsia="Times New Roman" w:hAnsi="Times New Roman" w:cs="Times New Roman"/>
                <w:sz w:val="24"/>
                <w:szCs w:val="24"/>
              </w:rPr>
            </w:pP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ARCHIVIST</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4</w:t>
            </w:r>
          </w:p>
        </w:tc>
      </w:tr>
      <w:tr w:rsidR="003179DF" w:rsidRPr="003179DF" w:rsidTr="003179DF">
        <w:trPr>
          <w:tblCellSpacing w:w="0" w:type="dxa"/>
        </w:trPr>
        <w:tc>
          <w:tcPr>
            <w:tcW w:w="24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Associate 2</w:t>
            </w: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ARCHIVIST, SR</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r w:rsidR="003179DF" w:rsidRPr="003179DF" w:rsidTr="003179DF">
        <w:trPr>
          <w:tblCellSpacing w:w="0" w:type="dxa"/>
        </w:trPr>
        <w:tc>
          <w:tcPr>
            <w:tcW w:w="24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Associate 3</w:t>
            </w:r>
          </w:p>
        </w:tc>
        <w:tc>
          <w:tcPr>
            <w:tcW w:w="342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c>
          <w:tcPr>
            <w:tcW w:w="18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r>
    </w:tbl>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4"/>
          <w:szCs w:val="24"/>
        </w:rPr>
        <w:t>Implementation of Reclassification</w:t>
      </w:r>
    </w:p>
    <w:p w:rsidR="003179DF" w:rsidRPr="003179DF" w:rsidRDefault="003179DF" w:rsidP="003179DF">
      <w:pPr>
        <w:numPr>
          <w:ilvl w:val="0"/>
          <w:numId w:val="18"/>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TEAMS.  Positions occupied by current TEAMS employees and mapped to the new Library Assistant or Library Associate classifications will convert to the appropriate new classification.</w:t>
      </w:r>
    </w:p>
    <w:p w:rsidR="003179DF" w:rsidRPr="003179DF" w:rsidRDefault="003179DF" w:rsidP="003179DF">
      <w:pPr>
        <w:numPr>
          <w:ilvl w:val="0"/>
          <w:numId w:val="18"/>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USPS.  Positions occupied by current USPS employees and mapped to the new Library Assistant or Library Associate classifications will convert to the appropriate new classification </w:t>
      </w:r>
      <w:r w:rsidRPr="003179DF">
        <w:rPr>
          <w:rFonts w:ascii="Arial" w:eastAsia="Times New Roman" w:hAnsi="Arial" w:cs="Arial"/>
          <w:color w:val="000000"/>
          <w:sz w:val="27"/>
          <w:szCs w:val="27"/>
          <w:u w:val="single"/>
        </w:rPr>
        <w:t>only</w:t>
      </w:r>
      <w:r w:rsidRPr="003179DF">
        <w:rPr>
          <w:rFonts w:ascii="Arial" w:eastAsia="Times New Roman" w:hAnsi="Arial" w:cs="Arial"/>
          <w:color w:val="000000"/>
          <w:sz w:val="27"/>
          <w:szCs w:val="27"/>
        </w:rPr>
        <w:t> if the incumbent voluntarily elects to convert to TEAMS.  </w:t>
      </w:r>
      <w:r w:rsidRPr="003179DF">
        <w:rPr>
          <w:rFonts w:ascii="Arial" w:eastAsia="Times New Roman" w:hAnsi="Arial" w:cs="Arial"/>
          <w:color w:val="000000"/>
          <w:sz w:val="27"/>
          <w:szCs w:val="27"/>
          <w:u w:val="single"/>
        </w:rPr>
        <w:t>The decision to convert to TEAMS and convert to the new classification will have no bearing on the eligibility for market equity adjustments for USPS employees.  Market equity adjustments for USPS employees will be implemented irrespective of that employee's decision to convert to TEAMS.</w:t>
      </w:r>
    </w:p>
    <w:p w:rsidR="003179DF" w:rsidRPr="003179DF" w:rsidRDefault="003179DF" w:rsidP="003179DF">
      <w:pPr>
        <w:numPr>
          <w:ilvl w:val="0"/>
          <w:numId w:val="18"/>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b/>
          <w:bCs/>
          <w:color w:val="000000"/>
          <w:sz w:val="27"/>
          <w:szCs w:val="27"/>
        </w:rPr>
        <w:t>New positions and promotions.</w:t>
      </w:r>
      <w:r w:rsidRPr="003179DF">
        <w:rPr>
          <w:rFonts w:ascii="Arial" w:eastAsia="Times New Roman" w:hAnsi="Arial" w:cs="Arial"/>
          <w:color w:val="000000"/>
          <w:sz w:val="27"/>
          <w:szCs w:val="27"/>
        </w:rPr>
        <w:t>  Future HSCL job vacancies for positions with primarily library-specific job duties will only be posted as Library Assistant and Library Associate positions.  Accordingly, acceptance of one of these positions will require the employee to have TEAMS status.</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4"/>
          <w:szCs w:val="24"/>
        </w:rPr>
        <w:t>2. </w:t>
      </w:r>
      <w:r w:rsidRPr="003179DF">
        <w:rPr>
          <w:rFonts w:ascii="Arial" w:eastAsia="Times New Roman" w:hAnsi="Arial" w:cs="Arial"/>
          <w:b/>
          <w:bCs/>
          <w:color w:val="000000"/>
          <w:sz w:val="27"/>
          <w:szCs w:val="27"/>
        </w:rPr>
        <w:t>Positions Other than Library Assistants and Library Associates</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b/>
          <w:bCs/>
          <w:i/>
          <w:iCs/>
          <w:color w:val="000000"/>
          <w:sz w:val="24"/>
          <w:szCs w:val="24"/>
        </w:rPr>
        <w:t>IT Positions</w:t>
      </w:r>
    </w:p>
    <w:p w:rsidR="003179DF" w:rsidRPr="003179DF" w:rsidRDefault="003179DF" w:rsidP="003179DF">
      <w:pPr>
        <w:numPr>
          <w:ilvl w:val="0"/>
          <w:numId w:val="19"/>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5 HSCL positions were reviewed and determined to be primarily IT positions.</w:t>
      </w:r>
    </w:p>
    <w:p w:rsidR="003179DF" w:rsidRPr="003179DF" w:rsidRDefault="003179DF" w:rsidP="003179DF">
      <w:pPr>
        <w:numPr>
          <w:ilvl w:val="0"/>
          <w:numId w:val="19"/>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These positions were mapped into the appropriate IT classifications based upon the </w:t>
      </w:r>
      <w:hyperlink r:id="rId23" w:history="1">
        <w:r w:rsidRPr="003179DF">
          <w:rPr>
            <w:rFonts w:ascii="Arial" w:eastAsia="Times New Roman" w:hAnsi="Arial" w:cs="Arial"/>
            <w:color w:val="0000FF"/>
            <w:sz w:val="27"/>
            <w:szCs w:val="27"/>
            <w:u w:val="single"/>
          </w:rPr>
          <w:t>UF classification descriptions</w:t>
        </w:r>
      </w:hyperlink>
      <w:r w:rsidRPr="003179DF">
        <w:rPr>
          <w:rFonts w:ascii="Arial" w:eastAsia="Times New Roman" w:hAnsi="Arial" w:cs="Arial"/>
          <w:color w:val="000000"/>
          <w:sz w:val="27"/>
          <w:szCs w:val="27"/>
        </w:rPr>
        <w:t> and the current position descriptions.  The classifications for each of the HSCL IT positions was reviewed by UF Classification and Compensation and confirmed.</w:t>
      </w:r>
    </w:p>
    <w:p w:rsidR="003179DF" w:rsidRPr="003179DF" w:rsidRDefault="003179DF" w:rsidP="003179DF">
      <w:pPr>
        <w:numPr>
          <w:ilvl w:val="0"/>
          <w:numId w:val="19"/>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 HSCL IT employees were assigned over three UF IT classifications: IT Specialist, IT Expert, and IT SR.</w:t>
      </w:r>
    </w:p>
    <w:p w:rsidR="003179DF" w:rsidRPr="003179DF" w:rsidRDefault="003179DF" w:rsidP="003179DF">
      <w:pPr>
        <w:numPr>
          <w:ilvl w:val="0"/>
          <w:numId w:val="19"/>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 xml:space="preserve">During the 2007 Smathers market equity process, the complexity of duties, responsibilities, and technical requirements of the library positions assigned within each of the IT classifications was compared.  It was determined that there was sufficient distinction in these factors between the positions assigned to the IT Expert and IT SR classifications to require banding of those positions into salary tiers.  These tiers permitted internal equity between individual positions within these broad </w:t>
      </w:r>
      <w:r w:rsidRPr="003179DF">
        <w:rPr>
          <w:rFonts w:ascii="Arial" w:eastAsia="Times New Roman" w:hAnsi="Arial" w:cs="Arial"/>
          <w:color w:val="000000"/>
          <w:sz w:val="27"/>
          <w:szCs w:val="27"/>
        </w:rPr>
        <w:lastRenderedPageBreak/>
        <w:t>classifications based upon the level of the position's duties.  The target salaries for each classification and for the IT Expert and IT SR tiers within those classifications was determined based upon internal and external (campus) equity.  The result was the 2007 Smathers IT structure depicted </w:t>
      </w:r>
      <w:hyperlink r:id="rId24" w:history="1">
        <w:r w:rsidRPr="003179DF">
          <w:rPr>
            <w:rFonts w:ascii="Arial" w:eastAsia="Times New Roman" w:hAnsi="Arial" w:cs="Arial"/>
            <w:color w:val="0000FF"/>
            <w:sz w:val="27"/>
            <w:szCs w:val="27"/>
            <w:u w:val="single"/>
          </w:rPr>
          <w:t>here</w:t>
        </w:r>
      </w:hyperlink>
      <w:r w:rsidRPr="003179DF">
        <w:rPr>
          <w:rFonts w:ascii="Arial" w:eastAsia="Times New Roman" w:hAnsi="Arial" w:cs="Arial"/>
          <w:color w:val="000000"/>
          <w:sz w:val="27"/>
          <w:szCs w:val="27"/>
        </w:rPr>
        <w:t>.  </w:t>
      </w:r>
    </w:p>
    <w:p w:rsidR="003179DF" w:rsidRPr="003179DF" w:rsidRDefault="003179DF" w:rsidP="003179DF">
      <w:pPr>
        <w:numPr>
          <w:ilvl w:val="0"/>
          <w:numId w:val="19"/>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This structure was last updated in 2008 as a result of the 2 percent across the board pay increases for UF employees effective 09/19/08.  The current Smathers IT Salaries are depicted </w:t>
      </w:r>
      <w:hyperlink r:id="rId25" w:history="1">
        <w:r w:rsidRPr="003179DF">
          <w:rPr>
            <w:rFonts w:ascii="Arial" w:eastAsia="Times New Roman" w:hAnsi="Arial" w:cs="Arial"/>
            <w:color w:val="0000FF"/>
            <w:sz w:val="27"/>
            <w:szCs w:val="27"/>
            <w:u w:val="single"/>
          </w:rPr>
          <w:t>here.</w:t>
        </w:r>
      </w:hyperlink>
      <w:r w:rsidRPr="003179DF">
        <w:rPr>
          <w:rFonts w:ascii="Arial" w:eastAsia="Times New Roman" w:hAnsi="Arial" w:cs="Arial"/>
          <w:color w:val="000000"/>
          <w:sz w:val="27"/>
          <w:szCs w:val="27"/>
        </w:rPr>
        <w:t>  HSCL IT employees were assigned target salaries based upon this structure.  The results of this process are depicted here:</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015"/>
        <w:gridCol w:w="1680"/>
      </w:tblGrid>
      <w:tr w:rsidR="003179DF" w:rsidRPr="003179DF" w:rsidTr="003179DF">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before="100" w:beforeAutospacing="1" w:after="0" w:line="240" w:lineRule="auto"/>
              <w:rPr>
                <w:rFonts w:ascii="Times New Roman" w:eastAsia="Times New Roman" w:hAnsi="Times New Roman" w:cs="Times New Roman"/>
                <w:sz w:val="24"/>
                <w:szCs w:val="24"/>
              </w:rPr>
            </w:pPr>
            <w:r w:rsidRPr="003179DF">
              <w:rPr>
                <w:rFonts w:ascii="Arial" w:eastAsia="Times New Roman" w:hAnsi="Arial" w:cs="Arial"/>
                <w:b/>
                <w:bCs/>
                <w:sz w:val="20"/>
                <w:szCs w:val="20"/>
              </w:rPr>
              <w:t>Mapped Classification</w:t>
            </w:r>
          </w:p>
        </w:tc>
        <w:tc>
          <w:tcPr>
            <w:tcW w:w="30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b/>
                <w:bCs/>
                <w:sz w:val="20"/>
                <w:szCs w:val="20"/>
              </w:rPr>
              <w:t>Tier</w:t>
            </w:r>
          </w:p>
        </w:tc>
        <w:tc>
          <w:tcPr>
            <w:tcW w:w="16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b/>
                <w:bCs/>
                <w:sz w:val="20"/>
                <w:szCs w:val="20"/>
              </w:rPr>
              <w:t>Employee Count</w:t>
            </w:r>
          </w:p>
        </w:tc>
      </w:tr>
      <w:tr w:rsidR="003179DF" w:rsidRPr="003179DF" w:rsidTr="003179DF">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IT Specialist</w:t>
            </w:r>
          </w:p>
        </w:tc>
        <w:tc>
          <w:tcPr>
            <w:tcW w:w="30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w:t>
            </w:r>
          </w:p>
        </w:tc>
        <w:tc>
          <w:tcPr>
            <w:tcW w:w="16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r w:rsidR="003179DF" w:rsidRPr="003179DF" w:rsidTr="003179DF">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IT Expert</w:t>
            </w:r>
          </w:p>
        </w:tc>
        <w:tc>
          <w:tcPr>
            <w:tcW w:w="30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c>
          <w:tcPr>
            <w:tcW w:w="16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r>
      <w:tr w:rsidR="003179DF" w:rsidRPr="003179DF" w:rsidTr="003179DF">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IT Expert</w:t>
            </w:r>
          </w:p>
        </w:tc>
        <w:tc>
          <w:tcPr>
            <w:tcW w:w="30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2</w:t>
            </w:r>
          </w:p>
        </w:tc>
        <w:tc>
          <w:tcPr>
            <w:tcW w:w="16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r w:rsidR="003179DF" w:rsidRPr="003179DF" w:rsidTr="003179DF">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IT Expert</w:t>
            </w:r>
          </w:p>
        </w:tc>
        <w:tc>
          <w:tcPr>
            <w:tcW w:w="30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3</w:t>
            </w:r>
          </w:p>
        </w:tc>
        <w:tc>
          <w:tcPr>
            <w:tcW w:w="16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2</w:t>
            </w:r>
          </w:p>
        </w:tc>
      </w:tr>
      <w:tr w:rsidR="003179DF" w:rsidRPr="003179DF" w:rsidTr="003179DF">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IT Senior</w:t>
            </w:r>
          </w:p>
        </w:tc>
        <w:tc>
          <w:tcPr>
            <w:tcW w:w="30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c>
          <w:tcPr>
            <w:tcW w:w="16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1</w:t>
            </w:r>
          </w:p>
        </w:tc>
      </w:tr>
      <w:tr w:rsidR="003179DF" w:rsidRPr="003179DF" w:rsidTr="003179DF">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rPr>
                <w:rFonts w:ascii="Times New Roman" w:eastAsia="Times New Roman" w:hAnsi="Times New Roman" w:cs="Times New Roman"/>
                <w:sz w:val="24"/>
                <w:szCs w:val="24"/>
              </w:rPr>
            </w:pPr>
            <w:r w:rsidRPr="003179DF">
              <w:rPr>
                <w:rFonts w:ascii="Arial" w:eastAsia="Times New Roman" w:hAnsi="Arial" w:cs="Arial"/>
                <w:sz w:val="20"/>
                <w:szCs w:val="20"/>
              </w:rPr>
              <w:t>IT Senior</w:t>
            </w:r>
          </w:p>
        </w:tc>
        <w:tc>
          <w:tcPr>
            <w:tcW w:w="3015"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2</w:t>
            </w:r>
          </w:p>
        </w:tc>
        <w:tc>
          <w:tcPr>
            <w:tcW w:w="1680" w:type="dxa"/>
            <w:tcBorders>
              <w:top w:val="outset" w:sz="6" w:space="0" w:color="auto"/>
              <w:left w:val="outset" w:sz="6" w:space="0" w:color="auto"/>
              <w:bottom w:val="outset" w:sz="6" w:space="0" w:color="auto"/>
              <w:right w:val="outset" w:sz="6" w:space="0" w:color="auto"/>
            </w:tcBorders>
            <w:vAlign w:val="bottom"/>
            <w:hideMark/>
          </w:tcPr>
          <w:p w:rsidR="003179DF" w:rsidRPr="003179DF" w:rsidRDefault="003179DF" w:rsidP="003179DF">
            <w:pPr>
              <w:spacing w:after="0" w:line="240" w:lineRule="auto"/>
              <w:jc w:val="center"/>
              <w:rPr>
                <w:rFonts w:ascii="Times New Roman" w:eastAsia="Times New Roman" w:hAnsi="Times New Roman" w:cs="Times New Roman"/>
                <w:sz w:val="24"/>
                <w:szCs w:val="24"/>
              </w:rPr>
            </w:pPr>
            <w:r w:rsidRPr="003179DF">
              <w:rPr>
                <w:rFonts w:ascii="Arial" w:eastAsia="Times New Roman" w:hAnsi="Arial" w:cs="Arial"/>
                <w:sz w:val="20"/>
                <w:szCs w:val="20"/>
              </w:rPr>
              <w:t> </w:t>
            </w:r>
          </w:p>
        </w:tc>
      </w:tr>
    </w:tbl>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b/>
          <w:bCs/>
          <w:i/>
          <w:iCs/>
          <w:color w:val="000000"/>
          <w:sz w:val="24"/>
          <w:szCs w:val="24"/>
        </w:rPr>
        <w:t>Non-IT Positions</w:t>
      </w:r>
    </w:p>
    <w:p w:rsidR="003179DF" w:rsidRPr="003179DF" w:rsidRDefault="003179DF" w:rsidP="003179DF">
      <w:pPr>
        <w:numPr>
          <w:ilvl w:val="0"/>
          <w:numId w:val="20"/>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There are 4 Non-IT positions occupied by HSCL employees.</w:t>
      </w:r>
    </w:p>
    <w:p w:rsidR="003179DF" w:rsidRPr="003179DF" w:rsidRDefault="003179DF" w:rsidP="003179DF">
      <w:pPr>
        <w:numPr>
          <w:ilvl w:val="0"/>
          <w:numId w:val="20"/>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Each position’s duties, as detailed in the PD, were mapped to the appropriate UF classification and these mapping recommendations were then reviewed by UF Classification and Compensation.</w:t>
      </w:r>
    </w:p>
    <w:p w:rsidR="003179DF" w:rsidRPr="003179DF" w:rsidRDefault="003179DF" w:rsidP="003179DF">
      <w:pPr>
        <w:numPr>
          <w:ilvl w:val="0"/>
          <w:numId w:val="20"/>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These positions were reviewed for internal equity and compared to salary data for occupants of the same classifications from UF and the Smathers Libraries in order to establish the target salary for the HSCL staff in these classifications.</w:t>
      </w:r>
    </w:p>
    <w:p w:rsidR="003179DF" w:rsidRPr="003179DF" w:rsidRDefault="003179DF" w:rsidP="003179DF">
      <w:pPr>
        <w:numPr>
          <w:ilvl w:val="0"/>
          <w:numId w:val="20"/>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 result was that of these 4 positions, the current salaries of 2 fell below the peer (or target) salaries based on the classification and 2 positions had salaries at or above the market equity level for their classification.  Those whose current salaries fell below the target were subject to increases.</w:t>
      </w:r>
    </w:p>
    <w:p w:rsidR="003179DF" w:rsidRPr="003179DF" w:rsidRDefault="003179DF" w:rsidP="003179DF">
      <w:pPr>
        <w:shd w:val="clear" w:color="auto" w:fill="FFFFFF"/>
        <w:spacing w:after="0" w:line="240" w:lineRule="auto"/>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3179DF" w:rsidRPr="003179DF" w:rsidRDefault="003179DF" w:rsidP="003179DF">
      <w:pPr>
        <w:shd w:val="clear" w:color="auto" w:fill="FFFFFF"/>
        <w:spacing w:after="0" w:line="240" w:lineRule="auto"/>
        <w:jc w:val="both"/>
        <w:rPr>
          <w:rFonts w:ascii="Arial" w:eastAsia="Times New Roman" w:hAnsi="Arial" w:cs="Arial"/>
          <w:b/>
          <w:bCs/>
          <w:color w:val="000000"/>
          <w:sz w:val="27"/>
          <w:szCs w:val="27"/>
        </w:rPr>
      </w:pPr>
      <w:r w:rsidRPr="003179DF">
        <w:rPr>
          <w:rFonts w:ascii="Arial" w:eastAsia="Times New Roman" w:hAnsi="Arial" w:cs="Arial"/>
          <w:b/>
          <w:bCs/>
          <w:color w:val="000000"/>
          <w:sz w:val="27"/>
          <w:szCs w:val="27"/>
        </w:rPr>
        <w:t>Results</w:t>
      </w:r>
    </w:p>
    <w:p w:rsidR="003179DF" w:rsidRPr="003179DF" w:rsidRDefault="003179DF" w:rsidP="003179DF">
      <w:pPr>
        <w:numPr>
          <w:ilvl w:val="0"/>
          <w:numId w:val="21"/>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17 HSCL staff employees are targeted for increases to their salaries.  This represents 81% of the HSCL staff employee population.</w:t>
      </w:r>
    </w:p>
    <w:p w:rsidR="003179DF" w:rsidRPr="003179DF" w:rsidRDefault="003179DF" w:rsidP="003179DF">
      <w:pPr>
        <w:numPr>
          <w:ilvl w:val="0"/>
          <w:numId w:val="21"/>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 average target increase for those 17 employees is $5,424.</w:t>
      </w:r>
    </w:p>
    <w:p w:rsidR="003179DF" w:rsidRPr="003179DF" w:rsidRDefault="003179DF" w:rsidP="003179DF">
      <w:pPr>
        <w:numPr>
          <w:ilvl w:val="0"/>
          <w:numId w:val="21"/>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lastRenderedPageBreak/>
        <w:t>The total recurring costs associated with the implementation of market equity adjustments fall into 2 categories:</w:t>
      </w:r>
    </w:p>
    <w:p w:rsidR="003179DF" w:rsidRPr="003179DF" w:rsidRDefault="003179DF" w:rsidP="003179DF">
      <w:pPr>
        <w:numPr>
          <w:ilvl w:val="1"/>
          <w:numId w:val="21"/>
        </w:numPr>
        <w:shd w:val="clear" w:color="auto" w:fill="FFFFFF"/>
        <w:spacing w:before="100" w:beforeAutospacing="1" w:after="100" w:afterAutospacing="1" w:line="240" w:lineRule="auto"/>
        <w:ind w:left="1320"/>
        <w:rPr>
          <w:rFonts w:ascii="Arial" w:eastAsia="Times New Roman" w:hAnsi="Arial" w:cs="Arial"/>
          <w:color w:val="000000"/>
          <w:sz w:val="27"/>
          <w:szCs w:val="27"/>
        </w:rPr>
      </w:pPr>
      <w:r w:rsidRPr="003179DF">
        <w:rPr>
          <w:rFonts w:ascii="Arial" w:eastAsia="Times New Roman" w:hAnsi="Arial" w:cs="Arial"/>
          <w:color w:val="000000"/>
          <w:sz w:val="27"/>
          <w:szCs w:val="27"/>
          <w:u w:val="single"/>
        </w:rPr>
        <w:t>Gross wages</w:t>
      </w:r>
      <w:r w:rsidRPr="003179DF">
        <w:rPr>
          <w:rFonts w:ascii="Arial" w:eastAsia="Times New Roman" w:hAnsi="Arial" w:cs="Arial"/>
          <w:color w:val="000000"/>
          <w:sz w:val="27"/>
          <w:szCs w:val="27"/>
        </w:rPr>
        <w:t>.  These are the difference between the targeted salaries and current salaries for those employees who are currently paid below their targets.</w:t>
      </w:r>
    </w:p>
    <w:p w:rsidR="003179DF" w:rsidRPr="003179DF" w:rsidRDefault="003179DF" w:rsidP="003179DF">
      <w:pPr>
        <w:numPr>
          <w:ilvl w:val="1"/>
          <w:numId w:val="21"/>
        </w:numPr>
        <w:shd w:val="clear" w:color="auto" w:fill="FFFFFF"/>
        <w:spacing w:before="100" w:beforeAutospacing="1" w:after="100" w:afterAutospacing="1" w:line="240" w:lineRule="auto"/>
        <w:ind w:left="1320"/>
        <w:rPr>
          <w:rFonts w:ascii="Arial" w:eastAsia="Times New Roman" w:hAnsi="Arial" w:cs="Arial"/>
          <w:color w:val="000000"/>
          <w:sz w:val="27"/>
          <w:szCs w:val="27"/>
        </w:rPr>
      </w:pPr>
      <w:r w:rsidRPr="003179DF">
        <w:rPr>
          <w:rFonts w:ascii="Arial" w:eastAsia="Times New Roman" w:hAnsi="Arial" w:cs="Arial"/>
          <w:color w:val="000000"/>
          <w:sz w:val="27"/>
          <w:szCs w:val="27"/>
          <w:u w:val="single"/>
        </w:rPr>
        <w:t>Fringe</w:t>
      </w:r>
      <w:r w:rsidRPr="003179DF">
        <w:rPr>
          <w:rFonts w:ascii="Arial" w:eastAsia="Times New Roman" w:hAnsi="Arial" w:cs="Arial"/>
          <w:color w:val="000000"/>
          <w:sz w:val="27"/>
          <w:szCs w:val="27"/>
        </w:rPr>
        <w:t>.  This marginal expense is the result of payroll taxes, employee benefits, and other nonwage expenses incurred by the HSCL as a function of any payroll increases.  These costs are a function of the individual employee’s salary plan.  The 2009-10 fiscal year fringe rates are available </w:t>
      </w:r>
      <w:hyperlink r:id="rId26" w:history="1">
        <w:r w:rsidRPr="003179DF">
          <w:rPr>
            <w:rFonts w:ascii="Arial" w:eastAsia="Times New Roman" w:hAnsi="Arial" w:cs="Arial"/>
            <w:color w:val="0000FF"/>
            <w:sz w:val="27"/>
            <w:szCs w:val="27"/>
            <w:u w:val="single"/>
          </w:rPr>
          <w:t>here</w:t>
        </w:r>
      </w:hyperlink>
      <w:r w:rsidRPr="003179DF">
        <w:rPr>
          <w:rFonts w:ascii="Arial" w:eastAsia="Times New Roman" w:hAnsi="Arial" w:cs="Arial"/>
          <w:color w:val="000000"/>
          <w:sz w:val="27"/>
          <w:szCs w:val="27"/>
        </w:rPr>
        <w:t>.</w:t>
      </w:r>
    </w:p>
    <w:p w:rsidR="003179DF" w:rsidRPr="003179DF" w:rsidRDefault="003179DF" w:rsidP="003179DF">
      <w:pPr>
        <w:numPr>
          <w:ilvl w:val="0"/>
          <w:numId w:val="21"/>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The total recurring costs associated with achieving the targeted salaries for the 21 HSCL staff employee positions will be $124,543.  These additional costs will be funded out of the operating budget of the Health Science Center Libraries.</w:t>
      </w:r>
    </w:p>
    <w:p w:rsidR="003179DF" w:rsidRPr="003179DF" w:rsidRDefault="003179DF" w:rsidP="003179DF">
      <w:pPr>
        <w:shd w:val="clear" w:color="auto" w:fill="FFFFFF"/>
        <w:spacing w:after="0" w:line="240" w:lineRule="auto"/>
        <w:ind w:left="1020"/>
        <w:rPr>
          <w:rFonts w:ascii="Arial" w:eastAsia="Times New Roman" w:hAnsi="Arial" w:cs="Arial"/>
          <w:b/>
          <w:bCs/>
          <w:color w:val="FF0000"/>
          <w:sz w:val="27"/>
          <w:szCs w:val="27"/>
        </w:rPr>
      </w:pPr>
      <w:r w:rsidRPr="003179DF">
        <w:rPr>
          <w:rFonts w:ascii="Arial" w:eastAsia="Times New Roman" w:hAnsi="Arial" w:cs="Arial"/>
          <w:b/>
          <w:bCs/>
          <w:color w:val="FF0000"/>
          <w:sz w:val="27"/>
          <w:szCs w:val="27"/>
        </w:rPr>
        <w:t> </w:t>
      </w:r>
    </w:p>
    <w:p w:rsidR="003179DF" w:rsidRPr="003179DF" w:rsidRDefault="003179DF" w:rsidP="003179DF">
      <w:pPr>
        <w:shd w:val="clear" w:color="auto" w:fill="FFFFFF"/>
        <w:spacing w:after="100" w:afterAutospacing="1" w:line="240" w:lineRule="auto"/>
        <w:rPr>
          <w:rFonts w:ascii="Arial" w:eastAsia="Times New Roman" w:hAnsi="Arial" w:cs="Arial"/>
          <w:b/>
          <w:bCs/>
          <w:color w:val="FF0000"/>
          <w:sz w:val="27"/>
          <w:szCs w:val="27"/>
        </w:rPr>
      </w:pPr>
      <w:r w:rsidRPr="003179DF">
        <w:rPr>
          <w:rFonts w:ascii="Arial" w:eastAsia="Times New Roman" w:hAnsi="Arial" w:cs="Arial"/>
          <w:b/>
          <w:bCs/>
          <w:color w:val="FF0000"/>
          <w:sz w:val="27"/>
          <w:szCs w:val="27"/>
        </w:rPr>
        <w:t>  Maintenance (2010)</w:t>
      </w:r>
    </w:p>
    <w:p w:rsidR="003179DF" w:rsidRPr="003179DF" w:rsidRDefault="003179DF" w:rsidP="003179DF">
      <w:pPr>
        <w:numPr>
          <w:ilvl w:val="0"/>
          <w:numId w:val="22"/>
        </w:numPr>
        <w:shd w:val="clear" w:color="auto" w:fill="FFFFFF"/>
        <w:spacing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Effective 07/01/10 staff employees at UF who met certain criteria received a pay increase equivalent to 1% of their annualized salaries.</w:t>
      </w:r>
    </w:p>
    <w:p w:rsidR="003179DF" w:rsidRPr="003179DF" w:rsidRDefault="003179DF" w:rsidP="003179DF">
      <w:pPr>
        <w:numPr>
          <w:ilvl w:val="0"/>
          <w:numId w:val="22"/>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Midpoint targets for the Library Assistant and Associate classifications were increased by 1% to reflect this event.  This allows for salary offers to be calculated equitably to the existing staff population. The new midpoint distributions for the Library Assistant and Associate classifications are depicted </w:t>
      </w:r>
      <w:hyperlink r:id="rId27" w:history="1">
        <w:r w:rsidRPr="003179DF">
          <w:rPr>
            <w:rFonts w:ascii="Arial" w:eastAsia="Times New Roman" w:hAnsi="Arial" w:cs="Arial"/>
            <w:color w:val="0000FF"/>
            <w:sz w:val="27"/>
            <w:szCs w:val="27"/>
            <w:u w:val="single"/>
          </w:rPr>
          <w:t>here</w:t>
        </w:r>
      </w:hyperlink>
      <w:r w:rsidRPr="003179DF">
        <w:rPr>
          <w:rFonts w:ascii="Arial" w:eastAsia="Times New Roman" w:hAnsi="Arial" w:cs="Arial"/>
          <w:color w:val="000000"/>
          <w:sz w:val="27"/>
          <w:szCs w:val="27"/>
        </w:rPr>
        <w:t>.</w:t>
      </w:r>
    </w:p>
    <w:p w:rsidR="003179DF" w:rsidRPr="003179DF" w:rsidRDefault="003179DF" w:rsidP="003179DF">
      <w:pPr>
        <w:numPr>
          <w:ilvl w:val="0"/>
          <w:numId w:val="22"/>
        </w:numPr>
        <w:shd w:val="clear" w:color="auto" w:fill="FFFFFF"/>
        <w:spacing w:before="100" w:beforeAutospacing="1" w:after="10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Salary levels for positions other than Library Assistant and Associate classifications were also increased by 1%.  IT Salaries are depicted </w:t>
      </w:r>
      <w:hyperlink r:id="rId28" w:history="1">
        <w:r w:rsidRPr="003179DF">
          <w:rPr>
            <w:rFonts w:ascii="Arial" w:eastAsia="Times New Roman" w:hAnsi="Arial" w:cs="Arial"/>
            <w:color w:val="0000FF"/>
            <w:sz w:val="27"/>
            <w:szCs w:val="27"/>
            <w:u w:val="single"/>
          </w:rPr>
          <w:t>here.</w:t>
        </w:r>
      </w:hyperlink>
    </w:p>
    <w:p w:rsidR="003179DF" w:rsidRPr="003179DF" w:rsidRDefault="003179DF" w:rsidP="003179DF">
      <w:pPr>
        <w:shd w:val="clear" w:color="auto" w:fill="FFFFFF"/>
        <w:spacing w:before="100" w:beforeAutospacing="1" w:after="100" w:afterAutospacing="1" w:line="240" w:lineRule="auto"/>
        <w:rPr>
          <w:rFonts w:ascii="Arial" w:eastAsia="Times New Roman" w:hAnsi="Arial" w:cs="Arial"/>
          <w:b/>
          <w:bCs/>
          <w:color w:val="FF0000"/>
          <w:sz w:val="27"/>
          <w:szCs w:val="27"/>
        </w:rPr>
      </w:pPr>
      <w:r w:rsidRPr="003179DF">
        <w:rPr>
          <w:rFonts w:ascii="Arial" w:eastAsia="Times New Roman" w:hAnsi="Arial" w:cs="Arial"/>
          <w:b/>
          <w:bCs/>
          <w:color w:val="FF0000"/>
          <w:sz w:val="27"/>
          <w:szCs w:val="27"/>
        </w:rPr>
        <w:t>  Maintenance (2011)</w:t>
      </w:r>
    </w:p>
    <w:p w:rsidR="003179DF" w:rsidRPr="003179DF" w:rsidRDefault="003179DF" w:rsidP="00A93B1B">
      <w:pPr>
        <w:numPr>
          <w:ilvl w:val="0"/>
          <w:numId w:val="23"/>
        </w:numPr>
        <w:shd w:val="clear" w:color="auto" w:fill="FFFFFF"/>
        <w:spacing w:beforeAutospacing="1" w:after="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 xml:space="preserve">Effective 09/16/11 staff employees at UF received an </w:t>
      </w:r>
      <w:proofErr w:type="spellStart"/>
      <w:r w:rsidRPr="003179DF">
        <w:rPr>
          <w:rFonts w:ascii="Arial" w:eastAsia="Times New Roman" w:hAnsi="Arial" w:cs="Arial"/>
          <w:color w:val="000000"/>
          <w:sz w:val="27"/>
          <w:szCs w:val="27"/>
        </w:rPr>
        <w:t>accross</w:t>
      </w:r>
      <w:proofErr w:type="spellEnd"/>
      <w:r w:rsidRPr="003179DF">
        <w:rPr>
          <w:rFonts w:ascii="Arial" w:eastAsia="Times New Roman" w:hAnsi="Arial" w:cs="Arial"/>
          <w:color w:val="000000"/>
          <w:sz w:val="27"/>
          <w:szCs w:val="27"/>
        </w:rPr>
        <w:t xml:space="preserve"> the board pay increase equivalent to 3% of their annualized salaries. This increase was intended to help offset the legislative change that required employees to contribute 3% of their salaries toward their </w:t>
      </w:r>
      <w:proofErr w:type="spellStart"/>
      <w:r w:rsidRPr="003179DF">
        <w:rPr>
          <w:rFonts w:ascii="Arial" w:eastAsia="Times New Roman" w:hAnsi="Arial" w:cs="Arial"/>
          <w:color w:val="000000"/>
          <w:sz w:val="27"/>
          <w:szCs w:val="27"/>
        </w:rPr>
        <w:t>retirment</w:t>
      </w:r>
      <w:proofErr w:type="spellEnd"/>
      <w:r w:rsidRPr="003179DF">
        <w:rPr>
          <w:rFonts w:ascii="Arial" w:eastAsia="Times New Roman" w:hAnsi="Arial" w:cs="Arial"/>
          <w:color w:val="000000"/>
          <w:sz w:val="27"/>
          <w:szCs w:val="27"/>
        </w:rPr>
        <w:t xml:space="preserve"> benefits.</w:t>
      </w:r>
    </w:p>
    <w:p w:rsidR="003179DF" w:rsidRPr="003179DF" w:rsidRDefault="003179DF" w:rsidP="00A93B1B">
      <w:pPr>
        <w:numPr>
          <w:ilvl w:val="0"/>
          <w:numId w:val="23"/>
        </w:numPr>
        <w:shd w:val="clear" w:color="auto" w:fill="FFFFFF"/>
        <w:spacing w:beforeAutospacing="1" w:after="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t>Midpoint targets for the Library Assistant and Associate classifications were increased by 3% to reflect this event.  This allows for salary offers to be calculated equitably to the existing staff population. The new midpoint distributions for the Library Assistant and Associate cl</w:t>
      </w:r>
      <w:bookmarkStart w:id="0" w:name="_GoBack"/>
      <w:bookmarkEnd w:id="0"/>
      <w:r w:rsidRPr="003179DF">
        <w:rPr>
          <w:rFonts w:ascii="Arial" w:eastAsia="Times New Roman" w:hAnsi="Arial" w:cs="Arial"/>
          <w:color w:val="000000"/>
          <w:sz w:val="27"/>
          <w:szCs w:val="27"/>
        </w:rPr>
        <w:t>assifications are depicted </w:t>
      </w:r>
      <w:hyperlink r:id="rId29" w:history="1">
        <w:r w:rsidRPr="003179DF">
          <w:rPr>
            <w:rFonts w:ascii="Arial" w:eastAsia="Times New Roman" w:hAnsi="Arial" w:cs="Arial"/>
            <w:color w:val="0000FF"/>
            <w:sz w:val="27"/>
            <w:szCs w:val="27"/>
            <w:u w:val="single"/>
          </w:rPr>
          <w:t>here</w:t>
        </w:r>
      </w:hyperlink>
      <w:r w:rsidRPr="003179DF">
        <w:rPr>
          <w:rFonts w:ascii="Arial" w:eastAsia="Times New Roman" w:hAnsi="Arial" w:cs="Arial"/>
          <w:color w:val="000000"/>
          <w:sz w:val="27"/>
          <w:szCs w:val="27"/>
        </w:rPr>
        <w:t>.</w:t>
      </w:r>
    </w:p>
    <w:p w:rsidR="003179DF" w:rsidRPr="003179DF" w:rsidRDefault="003179DF" w:rsidP="00A93B1B">
      <w:pPr>
        <w:numPr>
          <w:ilvl w:val="0"/>
          <w:numId w:val="23"/>
        </w:numPr>
        <w:shd w:val="clear" w:color="auto" w:fill="FFFFFF"/>
        <w:spacing w:beforeAutospacing="1" w:after="0" w:afterAutospacing="1" w:line="240" w:lineRule="auto"/>
        <w:ind w:left="630"/>
        <w:rPr>
          <w:rFonts w:ascii="Arial" w:eastAsia="Times New Roman" w:hAnsi="Arial" w:cs="Arial"/>
          <w:color w:val="000000"/>
          <w:sz w:val="27"/>
          <w:szCs w:val="27"/>
        </w:rPr>
      </w:pPr>
      <w:r w:rsidRPr="003179DF">
        <w:rPr>
          <w:rFonts w:ascii="Arial" w:eastAsia="Times New Roman" w:hAnsi="Arial" w:cs="Arial"/>
          <w:color w:val="000000"/>
          <w:sz w:val="27"/>
          <w:szCs w:val="27"/>
        </w:rPr>
        <w:lastRenderedPageBreak/>
        <w:t>Salary levels for positions other than Library Assistant and Associate classifications were also increased by 3%.  IT Salaries are depicted </w:t>
      </w:r>
      <w:hyperlink r:id="rId30" w:history="1">
        <w:r w:rsidRPr="003179DF">
          <w:rPr>
            <w:rFonts w:ascii="Arial" w:eastAsia="Times New Roman" w:hAnsi="Arial" w:cs="Arial"/>
            <w:color w:val="0000FF"/>
            <w:sz w:val="27"/>
            <w:szCs w:val="27"/>
            <w:u w:val="single"/>
          </w:rPr>
          <w:t>here.</w:t>
        </w:r>
      </w:hyperlink>
    </w:p>
    <w:p w:rsidR="003179DF" w:rsidRPr="003179DF" w:rsidRDefault="003179DF" w:rsidP="003179DF">
      <w:pPr>
        <w:shd w:val="clear" w:color="auto" w:fill="FFFFFF"/>
        <w:spacing w:after="0" w:line="240" w:lineRule="auto"/>
        <w:ind w:left="2460"/>
        <w:rPr>
          <w:rFonts w:ascii="Arial" w:eastAsia="Times New Roman" w:hAnsi="Arial" w:cs="Arial"/>
          <w:color w:val="000000"/>
          <w:sz w:val="27"/>
          <w:szCs w:val="27"/>
        </w:rPr>
      </w:pPr>
      <w:r w:rsidRPr="003179DF">
        <w:rPr>
          <w:rFonts w:ascii="Arial" w:eastAsia="Times New Roman" w:hAnsi="Arial" w:cs="Arial"/>
          <w:color w:val="000000"/>
          <w:sz w:val="27"/>
          <w:szCs w:val="27"/>
        </w:rPr>
        <w:t> </w:t>
      </w:r>
    </w:p>
    <w:p w:rsidR="009D0CCC" w:rsidRDefault="00A93B1B"/>
    <w:sectPr w:rsidR="009D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81B"/>
    <w:multiLevelType w:val="multilevel"/>
    <w:tmpl w:val="2D48A58C"/>
    <w:lvl w:ilvl="0">
      <w:start w:val="1"/>
      <w:numFmt w:val="decimal"/>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1316"/>
    <w:multiLevelType w:val="multilevel"/>
    <w:tmpl w:val="C878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1B9F"/>
    <w:multiLevelType w:val="multilevel"/>
    <w:tmpl w:val="9878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51A0E"/>
    <w:multiLevelType w:val="multilevel"/>
    <w:tmpl w:val="7F8A5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091F"/>
    <w:multiLevelType w:val="multilevel"/>
    <w:tmpl w:val="1A0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C2ABA"/>
    <w:multiLevelType w:val="multilevel"/>
    <w:tmpl w:val="B212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F61DE"/>
    <w:multiLevelType w:val="multilevel"/>
    <w:tmpl w:val="9AF2D2DA"/>
    <w:lvl w:ilvl="0">
      <w:start w:val="1"/>
      <w:numFmt w:val="bullet"/>
      <w:lvlText w:val=""/>
      <w:lvlJc w:val="left"/>
      <w:pPr>
        <w:tabs>
          <w:tab w:val="num" w:pos="60"/>
        </w:tabs>
        <w:ind w:left="60" w:hanging="360"/>
      </w:pPr>
      <w:rPr>
        <w:rFonts w:ascii="Symbol" w:hAnsi="Symbol" w:hint="default"/>
        <w:sz w:val="20"/>
      </w:rPr>
    </w:lvl>
    <w:lvl w:ilvl="1">
      <w:start w:val="1"/>
      <w:numFmt w:val="bullet"/>
      <w:lvlText w:val="o"/>
      <w:lvlJc w:val="left"/>
      <w:pPr>
        <w:tabs>
          <w:tab w:val="num" w:pos="780"/>
        </w:tabs>
        <w:ind w:left="780" w:hanging="360"/>
      </w:pPr>
      <w:rPr>
        <w:rFonts w:ascii="Courier New" w:hAnsi="Courier New" w:hint="default"/>
        <w:sz w:val="20"/>
      </w:rPr>
    </w:lvl>
    <w:lvl w:ilvl="2">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7" w15:restartNumberingAfterBreak="0">
    <w:nsid w:val="284A5C3D"/>
    <w:multiLevelType w:val="multilevel"/>
    <w:tmpl w:val="CB44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F4B4F"/>
    <w:multiLevelType w:val="multilevel"/>
    <w:tmpl w:val="A9D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B56F2"/>
    <w:multiLevelType w:val="multilevel"/>
    <w:tmpl w:val="6ECA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06994"/>
    <w:multiLevelType w:val="multilevel"/>
    <w:tmpl w:val="3FC0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96CFB"/>
    <w:multiLevelType w:val="multilevel"/>
    <w:tmpl w:val="4F6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00DE5"/>
    <w:multiLevelType w:val="multilevel"/>
    <w:tmpl w:val="7220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67221"/>
    <w:multiLevelType w:val="multilevel"/>
    <w:tmpl w:val="34BA113E"/>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14" w15:restartNumberingAfterBreak="0">
    <w:nsid w:val="4B3B54FE"/>
    <w:multiLevelType w:val="multilevel"/>
    <w:tmpl w:val="B7D4C760"/>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15" w15:restartNumberingAfterBreak="0">
    <w:nsid w:val="4BCD488F"/>
    <w:multiLevelType w:val="multilevel"/>
    <w:tmpl w:val="D2F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04CEE"/>
    <w:multiLevelType w:val="multilevel"/>
    <w:tmpl w:val="0B064B6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B3BEA"/>
    <w:multiLevelType w:val="multilevel"/>
    <w:tmpl w:val="604CD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84107"/>
    <w:multiLevelType w:val="multilevel"/>
    <w:tmpl w:val="DE2613F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9" w15:restartNumberingAfterBreak="0">
    <w:nsid w:val="5B907577"/>
    <w:multiLevelType w:val="multilevel"/>
    <w:tmpl w:val="32A4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16BF9"/>
    <w:multiLevelType w:val="multilevel"/>
    <w:tmpl w:val="16ECD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D0DC4"/>
    <w:multiLevelType w:val="multilevel"/>
    <w:tmpl w:val="0B064B6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E10DF"/>
    <w:multiLevelType w:val="multilevel"/>
    <w:tmpl w:val="C37E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32BAC"/>
    <w:multiLevelType w:val="multilevel"/>
    <w:tmpl w:val="38C4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D457D"/>
    <w:multiLevelType w:val="multilevel"/>
    <w:tmpl w:val="32C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0"/>
  </w:num>
  <w:num w:numId="4">
    <w:abstractNumId w:val="18"/>
  </w:num>
  <w:num w:numId="5">
    <w:abstractNumId w:val="13"/>
  </w:num>
  <w:num w:numId="6">
    <w:abstractNumId w:val="23"/>
  </w:num>
  <w:num w:numId="7">
    <w:abstractNumId w:val="7"/>
  </w:num>
  <w:num w:numId="8">
    <w:abstractNumId w:val="17"/>
  </w:num>
  <w:num w:numId="9">
    <w:abstractNumId w:val="24"/>
  </w:num>
  <w:num w:numId="10">
    <w:abstractNumId w:val="8"/>
  </w:num>
  <w:num w:numId="11">
    <w:abstractNumId w:val="15"/>
  </w:num>
  <w:num w:numId="12">
    <w:abstractNumId w:val="3"/>
  </w:num>
  <w:num w:numId="13">
    <w:abstractNumId w:val="4"/>
  </w:num>
  <w:num w:numId="14">
    <w:abstractNumId w:val="1"/>
  </w:num>
  <w:num w:numId="15">
    <w:abstractNumId w:val="12"/>
  </w:num>
  <w:num w:numId="16">
    <w:abstractNumId w:val="19"/>
  </w:num>
  <w:num w:numId="17">
    <w:abstractNumId w:val="22"/>
  </w:num>
  <w:num w:numId="18">
    <w:abstractNumId w:val="5"/>
  </w:num>
  <w:num w:numId="19">
    <w:abstractNumId w:val="10"/>
  </w:num>
  <w:num w:numId="20">
    <w:abstractNumId w:val="9"/>
  </w:num>
  <w:num w:numId="21">
    <w:abstractNumId w:val="20"/>
  </w:num>
  <w:num w:numId="22">
    <w:abstractNumId w:val="11"/>
  </w:num>
  <w:num w:numId="23">
    <w:abstractNumId w:val="2"/>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DF"/>
    <w:rsid w:val="003179DF"/>
    <w:rsid w:val="0060284C"/>
    <w:rsid w:val="00A93B1B"/>
    <w:rsid w:val="00BC334E"/>
    <w:rsid w:val="00F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D2D1"/>
  <w15:chartTrackingRefBased/>
  <w15:docId w15:val="{8DB0E11E-5FF1-414F-BADF-627AA720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19410">
      <w:bodyDiv w:val="1"/>
      <w:marLeft w:val="0"/>
      <w:marRight w:val="0"/>
      <w:marTop w:val="0"/>
      <w:marBottom w:val="0"/>
      <w:divBdr>
        <w:top w:val="none" w:sz="0" w:space="0" w:color="auto"/>
        <w:left w:val="none" w:sz="0" w:space="0" w:color="auto"/>
        <w:bottom w:val="none" w:sz="0" w:space="0" w:color="auto"/>
        <w:right w:val="none" w:sz="0" w:space="0" w:color="auto"/>
      </w:divBdr>
      <w:divsChild>
        <w:div w:id="359162570">
          <w:blockQuote w:val="1"/>
          <w:marLeft w:val="720"/>
          <w:marRight w:val="720"/>
          <w:marTop w:val="0"/>
          <w:marBottom w:val="0"/>
          <w:divBdr>
            <w:top w:val="none" w:sz="0" w:space="0" w:color="auto"/>
            <w:left w:val="none" w:sz="0" w:space="0" w:color="auto"/>
            <w:bottom w:val="none" w:sz="0" w:space="0" w:color="auto"/>
            <w:right w:val="none" w:sz="0" w:space="0" w:color="auto"/>
          </w:divBdr>
        </w:div>
        <w:div w:id="115587261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18510005">
              <w:blockQuote w:val="1"/>
              <w:marLeft w:val="720"/>
              <w:marRight w:val="720"/>
              <w:marTop w:val="0"/>
              <w:marBottom w:val="0"/>
              <w:divBdr>
                <w:top w:val="none" w:sz="0" w:space="0" w:color="auto"/>
                <w:left w:val="none" w:sz="0" w:space="0" w:color="auto"/>
                <w:bottom w:val="none" w:sz="0" w:space="0" w:color="auto"/>
                <w:right w:val="none" w:sz="0" w:space="0" w:color="auto"/>
              </w:divBdr>
            </w:div>
            <w:div w:id="1656690076">
              <w:blockQuote w:val="1"/>
              <w:marLeft w:val="720"/>
              <w:marRight w:val="720"/>
              <w:marTop w:val="0"/>
              <w:marBottom w:val="0"/>
              <w:divBdr>
                <w:top w:val="none" w:sz="0" w:space="0" w:color="auto"/>
                <w:left w:val="none" w:sz="0" w:space="0" w:color="auto"/>
                <w:bottom w:val="none" w:sz="0" w:space="0" w:color="auto"/>
                <w:right w:val="none" w:sz="0" w:space="0" w:color="auto"/>
              </w:divBdr>
            </w:div>
            <w:div w:id="537544563">
              <w:blockQuote w:val="1"/>
              <w:marLeft w:val="720"/>
              <w:marRight w:val="720"/>
              <w:marTop w:val="0"/>
              <w:marBottom w:val="0"/>
              <w:divBdr>
                <w:top w:val="none" w:sz="0" w:space="0" w:color="auto"/>
                <w:left w:val="none" w:sz="0" w:space="0" w:color="auto"/>
                <w:bottom w:val="none" w:sz="0" w:space="0" w:color="auto"/>
                <w:right w:val="none" w:sz="0" w:space="0" w:color="auto"/>
              </w:divBdr>
            </w:div>
            <w:div w:id="2059237423">
              <w:blockQuote w:val="1"/>
              <w:marLeft w:val="720"/>
              <w:marRight w:val="720"/>
              <w:marTop w:val="0"/>
              <w:marBottom w:val="0"/>
              <w:divBdr>
                <w:top w:val="none" w:sz="0" w:space="0" w:color="auto"/>
                <w:left w:val="none" w:sz="0" w:space="0" w:color="auto"/>
                <w:bottom w:val="none" w:sz="0" w:space="0" w:color="auto"/>
                <w:right w:val="none" w:sz="0" w:space="0" w:color="auto"/>
              </w:divBdr>
            </w:div>
            <w:div w:id="1407848827">
              <w:blockQuote w:val="1"/>
              <w:marLeft w:val="720"/>
              <w:marRight w:val="720"/>
              <w:marTop w:val="0"/>
              <w:marBottom w:val="0"/>
              <w:divBdr>
                <w:top w:val="none" w:sz="0" w:space="0" w:color="auto"/>
                <w:left w:val="none" w:sz="0" w:space="0" w:color="auto"/>
                <w:bottom w:val="none" w:sz="0" w:space="0" w:color="auto"/>
                <w:right w:val="none" w:sz="0" w:space="0" w:color="auto"/>
              </w:divBdr>
            </w:div>
            <w:div w:id="39219348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62369032">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2038923043">
              <w:blockQuote w:val="1"/>
              <w:marLeft w:val="720"/>
              <w:marRight w:val="720"/>
              <w:marTop w:val="100"/>
              <w:marBottom w:val="0"/>
              <w:divBdr>
                <w:top w:val="none" w:sz="0" w:space="0" w:color="auto"/>
                <w:left w:val="none" w:sz="0" w:space="0" w:color="auto"/>
                <w:bottom w:val="none" w:sz="0" w:space="0" w:color="auto"/>
                <w:right w:val="none" w:sz="0" w:space="0" w:color="auto"/>
              </w:divBdr>
            </w:div>
            <w:div w:id="13929275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043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99122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96860708">
              <w:blockQuote w:val="1"/>
              <w:marLeft w:val="720"/>
              <w:marRight w:val="720"/>
              <w:marTop w:val="0"/>
              <w:marBottom w:val="0"/>
              <w:divBdr>
                <w:top w:val="none" w:sz="0" w:space="0" w:color="auto"/>
                <w:left w:val="none" w:sz="0" w:space="0" w:color="auto"/>
                <w:bottom w:val="none" w:sz="0" w:space="0" w:color="auto"/>
                <w:right w:val="none" w:sz="0" w:space="0" w:color="auto"/>
              </w:divBdr>
            </w:div>
            <w:div w:id="109262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98230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1844541505">
                  <w:blockQuote w:val="1"/>
                  <w:marLeft w:val="720"/>
                  <w:marRight w:val="720"/>
                  <w:marTop w:val="0"/>
                  <w:marBottom w:val="0"/>
                  <w:divBdr>
                    <w:top w:val="none" w:sz="0" w:space="0" w:color="auto"/>
                    <w:left w:val="none" w:sz="0" w:space="0" w:color="auto"/>
                    <w:bottom w:val="none" w:sz="0" w:space="0" w:color="auto"/>
                    <w:right w:val="none" w:sz="0" w:space="0" w:color="auto"/>
                  </w:divBdr>
                  <w:divsChild>
                    <w:div w:id="475296572">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88090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9417467">
                  <w:blockQuote w:val="1"/>
                  <w:marLeft w:val="720"/>
                  <w:marRight w:val="720"/>
                  <w:marTop w:val="0"/>
                  <w:marBottom w:val="0"/>
                  <w:divBdr>
                    <w:top w:val="none" w:sz="0" w:space="0" w:color="auto"/>
                    <w:left w:val="none" w:sz="0" w:space="0" w:color="auto"/>
                    <w:bottom w:val="none" w:sz="0" w:space="0" w:color="auto"/>
                    <w:right w:val="none" w:sz="0" w:space="0" w:color="auto"/>
                  </w:divBdr>
                </w:div>
                <w:div w:id="184878607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6543188">
                      <w:blockQuote w:val="1"/>
                      <w:marLeft w:val="720"/>
                      <w:marRight w:val="720"/>
                      <w:marTop w:val="0"/>
                      <w:marBottom w:val="0"/>
                      <w:divBdr>
                        <w:top w:val="none" w:sz="0" w:space="0" w:color="auto"/>
                        <w:left w:val="none" w:sz="0" w:space="0" w:color="auto"/>
                        <w:bottom w:val="none" w:sz="0" w:space="0" w:color="auto"/>
                        <w:right w:val="none" w:sz="0" w:space="0" w:color="auto"/>
                      </w:divBdr>
                      <w:divsChild>
                        <w:div w:id="73829193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221663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260440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17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20937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874854679">
                  <w:blockQuote w:val="1"/>
                  <w:marLeft w:val="720"/>
                  <w:marRight w:val="720"/>
                  <w:marTop w:val="0"/>
                  <w:marBottom w:val="0"/>
                  <w:divBdr>
                    <w:top w:val="none" w:sz="0" w:space="0" w:color="auto"/>
                    <w:left w:val="none" w:sz="0" w:space="0" w:color="auto"/>
                    <w:bottom w:val="none" w:sz="0" w:space="0" w:color="auto"/>
                    <w:right w:val="none" w:sz="0" w:space="0" w:color="auto"/>
                  </w:divBdr>
                </w:div>
                <w:div w:id="157057510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851935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1944075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55670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387791">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109459712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0238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fl.edu/committees/SSRC/documents/LibraryAssistantandAssociateExamples_000.doc" TargetMode="External"/><Relationship Id="rId13" Type="http://schemas.openxmlformats.org/officeDocument/2006/relationships/hyperlink" Target="http://library.ufl.edu/committees/SSRC/CompFactors.htm" TargetMode="External"/><Relationship Id="rId18" Type="http://schemas.openxmlformats.org/officeDocument/2006/relationships/hyperlink" Target="http://library.ufl.edu/committees/SSRC/OthersCampus.htm" TargetMode="External"/><Relationship Id="rId26" Type="http://schemas.openxmlformats.org/officeDocument/2006/relationships/hyperlink" Target="http://www.uflib.ufl.edu/bus-serve/documents/FringeBenefitRates_001.pdf" TargetMode="External"/><Relationship Id="rId3" Type="http://schemas.openxmlformats.org/officeDocument/2006/relationships/styles" Target="styles.xml"/><Relationship Id="rId21" Type="http://schemas.openxmlformats.org/officeDocument/2006/relationships/hyperlink" Target="http://library.ufl.edu/committees/SSRC/documents/StaffSalariesPost2008ATB.xls" TargetMode="External"/><Relationship Id="rId7" Type="http://schemas.openxmlformats.org/officeDocument/2006/relationships/hyperlink" Target="http://library.ufl.edu/committees/SSRC/documents/LibraryAssistantandAssociateClassifications_000.doc" TargetMode="External"/><Relationship Id="rId12" Type="http://schemas.openxmlformats.org/officeDocument/2006/relationships/hyperlink" Target="http://library.ufl.edu/committees/SSRC/LALAsUFClassandCompTargets.htm" TargetMode="External"/><Relationship Id="rId17" Type="http://schemas.openxmlformats.org/officeDocument/2006/relationships/hyperlink" Target="http://library.ufl.edu/committees/SSRC/ITCampus.htm" TargetMode="External"/><Relationship Id="rId25" Type="http://schemas.openxmlformats.org/officeDocument/2006/relationships/hyperlink" Target="http://library.ufl.edu/committees/SSRC/documents/ITSalariesPost2008ATB.xls" TargetMode="External"/><Relationship Id="rId2" Type="http://schemas.openxmlformats.org/officeDocument/2006/relationships/numbering" Target="numbering.xml"/><Relationship Id="rId16" Type="http://schemas.openxmlformats.org/officeDocument/2006/relationships/hyperlink" Target="http://library.ufl.edu/committees/SSRC/TargetSalaryData.htm" TargetMode="External"/><Relationship Id="rId20" Type="http://schemas.openxmlformats.org/officeDocument/2006/relationships/hyperlink" Target="http://library.ufl.edu/committees/SSRC/SmathersITDesign.htm" TargetMode="External"/><Relationship Id="rId29" Type="http://schemas.openxmlformats.org/officeDocument/2006/relationships/hyperlink" Target="http://library.ufl.edu/committees/SSRC/documents/Staffbasesalaries9-16-2011.pdf" TargetMode="External"/><Relationship Id="rId1" Type="http://schemas.openxmlformats.org/officeDocument/2006/relationships/customXml" Target="../customXml/item1.xml"/><Relationship Id="rId6" Type="http://schemas.openxmlformats.org/officeDocument/2006/relationships/hyperlink" Target="http://www.uflib.ufl.edu/HRPD/" TargetMode="External"/><Relationship Id="rId11" Type="http://schemas.openxmlformats.org/officeDocument/2006/relationships/hyperlink" Target="http://library.ufl.edu/committees/SSRC/DistributionofPositionsAcrossClassifications.htm" TargetMode="External"/><Relationship Id="rId24" Type="http://schemas.openxmlformats.org/officeDocument/2006/relationships/hyperlink" Target="http://library.ufl.edu/committees/SSRC/SmathersITDesign.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ufl.edu/committees/SSRC/ExampleoftheApplicationofCompensableFactors.htm" TargetMode="External"/><Relationship Id="rId23" Type="http://schemas.openxmlformats.org/officeDocument/2006/relationships/hyperlink" Target="http://www.hr.ufl.edu/class_comp/classification/exempt/I.asp" TargetMode="External"/><Relationship Id="rId28" Type="http://schemas.openxmlformats.org/officeDocument/2006/relationships/hyperlink" Target="http://library.ufl.edu/committees/SSRC/documents/ITSalaryStructure7-1-10.pdf" TargetMode="External"/><Relationship Id="rId10" Type="http://schemas.openxmlformats.org/officeDocument/2006/relationships/hyperlink" Target="http://library.ufl.edu/committees/SSRC/CurrentvMappedTitles2_001.htm" TargetMode="External"/><Relationship Id="rId19" Type="http://schemas.openxmlformats.org/officeDocument/2006/relationships/hyperlink" Target="http://www.hr.ufl.edu/class_comp/classification/exempt/I.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ufl.edu/committees/SSRC/documents/CommitteeReportandRecommendations_000.doc" TargetMode="External"/><Relationship Id="rId14" Type="http://schemas.openxmlformats.org/officeDocument/2006/relationships/hyperlink" Target="http://library.ufl.edu/committees/SSRC/Modifiers.htm" TargetMode="External"/><Relationship Id="rId22" Type="http://schemas.openxmlformats.org/officeDocument/2006/relationships/hyperlink" Target="http://library.ufl.edu/committees/SSRC/documents/ITSalariesPost2008ATB.xls" TargetMode="External"/><Relationship Id="rId27" Type="http://schemas.openxmlformats.org/officeDocument/2006/relationships/hyperlink" Target="http://library.ufl.edu/committees/SSRC/documents/Staffbasesalaries7-1-2010.pdf" TargetMode="External"/><Relationship Id="rId30" Type="http://schemas.openxmlformats.org/officeDocument/2006/relationships/hyperlink" Target="http://library.ufl.edu/committees/SSRC/documents/ITSalaryStructure9-16-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9A80-3A8D-4D7F-B2E5-F5BEC16E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Piazza,Joseph Charles</dc:creator>
  <cp:keywords/>
  <dc:description/>
  <cp:lastModifiedBy>Piazza,Joseph Charles</cp:lastModifiedBy>
  <cp:revision>1</cp:revision>
  <dcterms:created xsi:type="dcterms:W3CDTF">2020-05-10T16:01:00Z</dcterms:created>
  <dcterms:modified xsi:type="dcterms:W3CDTF">2020-05-10T16:12:00Z</dcterms:modified>
</cp:coreProperties>
</file>